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19" w:rsidRDefault="004C75E3">
      <w:pPr>
        <w:pStyle w:val="NoSpacing"/>
        <w:rPr>
          <w:rFonts w:ascii="Cambria" w:hAnsi="Cambria"/>
          <w:sz w:val="72"/>
          <w:szCs w:val="72"/>
        </w:rPr>
      </w:pPr>
      <w:r>
        <w:rPr>
          <w:noProof/>
          <w:lang w:eastAsia="zh-TW"/>
        </w:rPr>
        <w:pict>
          <v:rect id="_x0000_s1026" style="position:absolute;margin-left:0;margin-top:0;width:641.75pt;height:63.95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noProof/>
          <w:lang w:eastAsia="zh-TW"/>
        </w:rPr>
        <w:pict>
          <v:rect id="_x0000_s1029" style="position:absolute;margin-left:32.4pt;margin-top:-19.4pt;width:7.15pt;height:830.75pt;z-index:251659264;mso-height-percent:1050;mso-position-horizontal-relative:page;mso-position-vertical-relative:page;mso-height-percent:1050" o:allowincell="f" strokecolor="#31849b">
            <w10:wrap anchorx="margin" anchory="page"/>
          </v:rect>
        </w:pict>
      </w:r>
      <w:r>
        <w:rPr>
          <w:noProof/>
          <w:lang w:eastAsia="zh-TW"/>
        </w:rPr>
        <w:pict>
          <v:rect id="_x0000_s1028" style="position:absolute;margin-left:572.4pt;margin-top:-19.4pt;width:7.15pt;height:830.75pt;z-index:251658240;mso-height-percent:1050;mso-position-horizontal-relative:page;mso-position-vertical-relative:page;mso-height-percent:1050" o:allowincell="f" strokecolor="#31849b">
            <w10:wrap anchorx="page" anchory="page"/>
          </v:rect>
        </w:pict>
      </w:r>
      <w:r>
        <w:rPr>
          <w:noProof/>
          <w:lang w:eastAsia="zh-TW"/>
        </w:rPr>
        <w:pict>
          <v:rect id="_x0000_s1027" style="position:absolute;margin-left:-14.9pt;margin-top:.4pt;width:641.75pt;height:63.95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417019" w:rsidRDefault="00417019">
      <w:pPr>
        <w:pStyle w:val="NoSpacing"/>
        <w:rPr>
          <w:rFonts w:ascii="Cambria" w:hAnsi="Cambria"/>
          <w:sz w:val="72"/>
          <w:szCs w:val="72"/>
        </w:rPr>
      </w:pPr>
      <w:r>
        <w:rPr>
          <w:rFonts w:ascii="Cambria" w:hAnsi="Cambria"/>
          <w:sz w:val="72"/>
          <w:szCs w:val="72"/>
        </w:rPr>
        <w:t xml:space="preserve">Johnson &amp; Johnson </w:t>
      </w:r>
      <w:r w:rsidR="004C49F4">
        <w:rPr>
          <w:rFonts w:ascii="Cambria" w:hAnsi="Cambria"/>
          <w:sz w:val="72"/>
          <w:szCs w:val="72"/>
        </w:rPr>
        <w:t>- G</w:t>
      </w:r>
      <w:r>
        <w:rPr>
          <w:rFonts w:ascii="Cambria" w:hAnsi="Cambria"/>
          <w:sz w:val="72"/>
          <w:szCs w:val="72"/>
        </w:rPr>
        <w:t xml:space="preserve">ood defensive stock with </w:t>
      </w:r>
      <w:r w:rsidR="004C49F4">
        <w:rPr>
          <w:rFonts w:ascii="Cambria" w:hAnsi="Cambria"/>
          <w:sz w:val="72"/>
          <w:szCs w:val="72"/>
        </w:rPr>
        <w:t xml:space="preserve">strong </w:t>
      </w:r>
      <w:r>
        <w:rPr>
          <w:rFonts w:ascii="Cambria" w:hAnsi="Cambria"/>
          <w:sz w:val="72"/>
          <w:szCs w:val="72"/>
        </w:rPr>
        <w:t>fundamentals</w:t>
      </w:r>
    </w:p>
    <w:p w:rsidR="00417019" w:rsidRDefault="00417019">
      <w:pPr>
        <w:pStyle w:val="NoSpacing"/>
        <w:rPr>
          <w:rFonts w:ascii="Cambria" w:hAnsi="Cambria"/>
          <w:sz w:val="36"/>
          <w:szCs w:val="36"/>
        </w:rPr>
      </w:pPr>
      <w:bookmarkStart w:id="0" w:name="_GoBack"/>
      <w:bookmarkEnd w:id="0"/>
    </w:p>
    <w:p w:rsidR="00417019" w:rsidRDefault="00417019">
      <w:pPr>
        <w:pStyle w:val="NoSpacing"/>
        <w:rPr>
          <w:rFonts w:ascii="Cambria" w:hAnsi="Cambria"/>
          <w:sz w:val="36"/>
          <w:szCs w:val="36"/>
        </w:rPr>
      </w:pPr>
    </w:p>
    <w:p w:rsidR="00417019" w:rsidRDefault="00417019"/>
    <w:p w:rsidR="000E5229" w:rsidRPr="001D74C3" w:rsidRDefault="00417019" w:rsidP="00BB0966">
      <w:pPr>
        <w:spacing w:line="480" w:lineRule="auto"/>
        <w:jc w:val="both"/>
      </w:pPr>
      <w:r>
        <w:rPr>
          <w:rFonts w:ascii="Verdana" w:hAnsi="Verdana"/>
          <w:b/>
          <w:sz w:val="24"/>
          <w:szCs w:val="24"/>
          <w:u w:val="single"/>
        </w:rPr>
        <w:br w:type="page"/>
      </w:r>
      <w:r w:rsidR="007E660D" w:rsidRPr="007E660D">
        <w:rPr>
          <w:rFonts w:ascii="Verdana" w:hAnsi="Verdana"/>
          <w:b/>
          <w:u w:val="single"/>
        </w:rPr>
        <w:lastRenderedPageBreak/>
        <w:t xml:space="preserve">Stock Price Analysis </w:t>
      </w:r>
      <w:proofErr w:type="gramStart"/>
      <w:r w:rsidR="007E660D" w:rsidRPr="007E660D">
        <w:rPr>
          <w:rFonts w:ascii="Verdana" w:hAnsi="Verdana"/>
          <w:b/>
          <w:u w:val="single"/>
        </w:rPr>
        <w:t>-</w:t>
      </w:r>
      <w:r w:rsidR="007E660D">
        <w:rPr>
          <w:rFonts w:ascii="Verdana" w:hAnsi="Verdana"/>
        </w:rPr>
        <w:t xml:space="preserve"> </w:t>
      </w:r>
      <w:r w:rsidR="00F92656">
        <w:rPr>
          <w:rFonts w:ascii="Verdana" w:hAnsi="Verdana"/>
        </w:rPr>
        <w:t xml:space="preserve"> </w:t>
      </w:r>
      <w:r w:rsidR="000E5229" w:rsidRPr="00024D43">
        <w:rPr>
          <w:rFonts w:ascii="Verdana" w:hAnsi="Verdana"/>
        </w:rPr>
        <w:t>Johnson</w:t>
      </w:r>
      <w:proofErr w:type="gramEnd"/>
      <w:r w:rsidR="000E5229" w:rsidRPr="00024D43">
        <w:rPr>
          <w:rFonts w:ascii="Verdana" w:hAnsi="Verdana"/>
        </w:rPr>
        <w:t xml:space="preserve"> and Johnson</w:t>
      </w:r>
      <w:r w:rsidR="00F92656">
        <w:rPr>
          <w:rFonts w:ascii="Verdana" w:hAnsi="Verdana"/>
        </w:rPr>
        <w:t xml:space="preserve"> </w:t>
      </w:r>
      <w:r w:rsidR="002F751A">
        <w:rPr>
          <w:rFonts w:ascii="Verdana" w:hAnsi="Verdana"/>
        </w:rPr>
        <w:t>(J&amp;J)</w:t>
      </w:r>
      <w:r w:rsidR="000E5229" w:rsidRPr="00024D43">
        <w:rPr>
          <w:rFonts w:ascii="Verdana" w:hAnsi="Verdana"/>
        </w:rPr>
        <w:t xml:space="preserve"> at market price of $6</w:t>
      </w:r>
      <w:r w:rsidR="00311752">
        <w:rPr>
          <w:rFonts w:ascii="Verdana" w:hAnsi="Verdana"/>
        </w:rPr>
        <w:t>4</w:t>
      </w:r>
      <w:r w:rsidR="000E5229" w:rsidRPr="00024D43">
        <w:rPr>
          <w:rFonts w:ascii="Verdana" w:hAnsi="Verdana"/>
        </w:rPr>
        <w:t>.</w:t>
      </w:r>
      <w:r w:rsidR="00311752">
        <w:rPr>
          <w:rFonts w:ascii="Verdana" w:hAnsi="Verdana"/>
        </w:rPr>
        <w:t>45</w:t>
      </w:r>
      <w:r w:rsidR="000E5229" w:rsidRPr="00024D43">
        <w:rPr>
          <w:rFonts w:ascii="Verdana" w:hAnsi="Verdana"/>
        </w:rPr>
        <w:t xml:space="preserve"> is trading at Price/earning</w:t>
      </w:r>
      <w:r w:rsidR="00EA3523">
        <w:rPr>
          <w:rFonts w:ascii="Verdana" w:hAnsi="Verdana"/>
        </w:rPr>
        <w:t>(P/E)</w:t>
      </w:r>
      <w:r w:rsidR="000E5229" w:rsidRPr="00024D43">
        <w:rPr>
          <w:rFonts w:ascii="Verdana" w:hAnsi="Verdana"/>
        </w:rPr>
        <w:t xml:space="preserve"> multiple of 13.</w:t>
      </w:r>
      <w:r w:rsidR="00311752">
        <w:rPr>
          <w:rFonts w:ascii="Verdana" w:hAnsi="Verdana"/>
        </w:rPr>
        <w:t>48</w:t>
      </w:r>
      <w:r w:rsidR="000E5229" w:rsidRPr="00024D43">
        <w:rPr>
          <w:rFonts w:ascii="Verdana" w:hAnsi="Verdana"/>
        </w:rPr>
        <w:t xml:space="preserve">x of its 2010 trailing diluted EPS of 4.78. While </w:t>
      </w:r>
      <w:r w:rsidR="00EA3523">
        <w:rPr>
          <w:rFonts w:ascii="Verdana" w:hAnsi="Verdana"/>
        </w:rPr>
        <w:t xml:space="preserve">most of </w:t>
      </w:r>
      <w:r w:rsidR="000E5229" w:rsidRPr="00024D43">
        <w:rPr>
          <w:rFonts w:ascii="Verdana" w:hAnsi="Verdana"/>
        </w:rPr>
        <w:t>its</w:t>
      </w:r>
      <w:r w:rsidR="00373614" w:rsidRPr="00024D43">
        <w:rPr>
          <w:rFonts w:ascii="Verdana" w:hAnsi="Verdana"/>
        </w:rPr>
        <w:t xml:space="preserve"> peers </w:t>
      </w:r>
      <w:proofErr w:type="spellStart"/>
      <w:r w:rsidR="00EA3523">
        <w:rPr>
          <w:rFonts w:ascii="Verdana" w:hAnsi="Verdana"/>
        </w:rPr>
        <w:t>i.e</w:t>
      </w:r>
      <w:proofErr w:type="spellEnd"/>
      <w:r w:rsidR="00EA3523">
        <w:rPr>
          <w:rFonts w:ascii="Verdana" w:hAnsi="Verdana"/>
        </w:rPr>
        <w:t xml:space="preserve"> </w:t>
      </w:r>
      <w:r w:rsidR="00373614" w:rsidRPr="00024D43">
        <w:rPr>
          <w:rFonts w:ascii="Verdana" w:hAnsi="Verdana"/>
        </w:rPr>
        <w:t>Abbott labs</w:t>
      </w:r>
      <w:r w:rsidR="00EA3523">
        <w:rPr>
          <w:rFonts w:ascii="Verdana" w:hAnsi="Verdana"/>
        </w:rPr>
        <w:t xml:space="preserve"> and</w:t>
      </w:r>
      <w:r w:rsidR="00373614" w:rsidRPr="00024D43">
        <w:rPr>
          <w:rFonts w:ascii="Verdana" w:hAnsi="Verdana"/>
        </w:rPr>
        <w:t xml:space="preserve"> Novartis are trading </w:t>
      </w:r>
      <w:r w:rsidR="00EA3523">
        <w:rPr>
          <w:rFonts w:ascii="Verdana" w:hAnsi="Verdana"/>
        </w:rPr>
        <w:t xml:space="preserve">at premium comparatively at 18.7x and 14.6x respectively. </w:t>
      </w:r>
      <w:proofErr w:type="gramStart"/>
      <w:r w:rsidR="00373614" w:rsidRPr="00024D43">
        <w:rPr>
          <w:rFonts w:ascii="Verdana" w:hAnsi="Verdana"/>
        </w:rPr>
        <w:t>to</w:t>
      </w:r>
      <w:proofErr w:type="gramEnd"/>
      <w:r w:rsidR="00373614" w:rsidRPr="00024D43">
        <w:rPr>
          <w:rFonts w:ascii="Verdana" w:hAnsi="Verdana"/>
        </w:rPr>
        <w:t xml:space="preserve"> J&amp;J. So </w:t>
      </w:r>
      <w:r w:rsidR="00BF41D9">
        <w:rPr>
          <w:rFonts w:ascii="Verdana" w:hAnsi="Verdana"/>
        </w:rPr>
        <w:t xml:space="preserve">based on the relative valuation approach, </w:t>
      </w:r>
      <w:r w:rsidR="00373614" w:rsidRPr="00024D43">
        <w:rPr>
          <w:rFonts w:ascii="Verdana" w:hAnsi="Verdana"/>
        </w:rPr>
        <w:t xml:space="preserve">J&amp;J at the time is undervalued stock and </w:t>
      </w:r>
      <w:r w:rsidR="00BF41D9">
        <w:rPr>
          <w:rFonts w:ascii="Verdana" w:hAnsi="Verdana"/>
        </w:rPr>
        <w:t xml:space="preserve">could </w:t>
      </w:r>
      <w:r w:rsidR="00373614" w:rsidRPr="00024D43">
        <w:rPr>
          <w:rFonts w:ascii="Verdana" w:hAnsi="Verdana"/>
        </w:rPr>
        <w:t xml:space="preserve">generate </w:t>
      </w:r>
      <w:r w:rsidR="006D65AC">
        <w:rPr>
          <w:rFonts w:ascii="Verdana" w:hAnsi="Verdana"/>
        </w:rPr>
        <w:t>average</w:t>
      </w:r>
      <w:r w:rsidR="00BF41D9">
        <w:rPr>
          <w:rFonts w:ascii="Verdana" w:hAnsi="Verdana"/>
        </w:rPr>
        <w:t xml:space="preserve"> </w:t>
      </w:r>
      <w:r w:rsidR="00373614" w:rsidRPr="00024D43">
        <w:rPr>
          <w:rFonts w:ascii="Verdana" w:hAnsi="Verdana"/>
        </w:rPr>
        <w:t xml:space="preserve">return in </w:t>
      </w:r>
      <w:r w:rsidR="00BF41D9">
        <w:rPr>
          <w:rFonts w:ascii="Verdana" w:hAnsi="Verdana"/>
        </w:rPr>
        <w:t>the near term</w:t>
      </w:r>
      <w:r w:rsidR="00373614" w:rsidRPr="00024D43">
        <w:rPr>
          <w:rFonts w:ascii="Verdana" w:hAnsi="Verdana"/>
        </w:rPr>
        <w:t>.</w:t>
      </w:r>
    </w:p>
    <w:p w:rsidR="0095734B" w:rsidRPr="00024D43" w:rsidRDefault="0095734B" w:rsidP="00024D43">
      <w:pPr>
        <w:spacing w:line="480" w:lineRule="auto"/>
        <w:jc w:val="both"/>
        <w:rPr>
          <w:rFonts w:ascii="Verdana" w:hAnsi="Verdana"/>
        </w:rPr>
      </w:pPr>
      <w:r w:rsidRPr="00024D43">
        <w:rPr>
          <w:rFonts w:ascii="Verdana" w:hAnsi="Verdana"/>
        </w:rPr>
        <w:t xml:space="preserve">With market value of $173 </w:t>
      </w:r>
      <w:r w:rsidR="000E6A72">
        <w:rPr>
          <w:rFonts w:ascii="Verdana" w:hAnsi="Verdana"/>
        </w:rPr>
        <w:t>b</w:t>
      </w:r>
      <w:r w:rsidRPr="00024D43">
        <w:rPr>
          <w:rFonts w:ascii="Verdana" w:hAnsi="Verdana"/>
        </w:rPr>
        <w:t xml:space="preserve">illion and 3 months average volume of </w:t>
      </w:r>
      <w:proofErr w:type="gramStart"/>
      <w:r w:rsidRPr="00024D43">
        <w:rPr>
          <w:rFonts w:ascii="Verdana" w:hAnsi="Verdana"/>
        </w:rPr>
        <w:t xml:space="preserve">12,022,500 </w:t>
      </w:r>
      <w:r w:rsidR="000E6A72">
        <w:rPr>
          <w:rFonts w:ascii="Verdana" w:hAnsi="Verdana"/>
        </w:rPr>
        <w:t>,</w:t>
      </w:r>
      <w:proofErr w:type="gramEnd"/>
      <w:r w:rsidR="000E6A72">
        <w:rPr>
          <w:rFonts w:ascii="Verdana" w:hAnsi="Verdana"/>
        </w:rPr>
        <w:t xml:space="preserve"> the stock also </w:t>
      </w:r>
      <w:r w:rsidRPr="00024D43">
        <w:rPr>
          <w:rFonts w:ascii="Verdana" w:hAnsi="Verdana"/>
        </w:rPr>
        <w:t xml:space="preserve">ensures good market capitalization and enough liquidity in the stock </w:t>
      </w:r>
      <w:r w:rsidR="000E6A72">
        <w:rPr>
          <w:rFonts w:ascii="Verdana" w:hAnsi="Verdana"/>
        </w:rPr>
        <w:t xml:space="preserve">to provide opportunity to </w:t>
      </w:r>
      <w:r w:rsidRPr="00024D43">
        <w:rPr>
          <w:rFonts w:ascii="Verdana" w:hAnsi="Verdana"/>
        </w:rPr>
        <w:t xml:space="preserve">investors to exit </w:t>
      </w:r>
      <w:r w:rsidR="000E6A72">
        <w:rPr>
          <w:rFonts w:ascii="Verdana" w:hAnsi="Verdana"/>
        </w:rPr>
        <w:t xml:space="preserve">as per their sweet will. </w:t>
      </w:r>
    </w:p>
    <w:p w:rsidR="00373614" w:rsidRPr="00024D43" w:rsidRDefault="00373614" w:rsidP="00024D43">
      <w:pPr>
        <w:spacing w:line="480" w:lineRule="auto"/>
        <w:jc w:val="both"/>
        <w:rPr>
          <w:rFonts w:ascii="Verdana" w:hAnsi="Verdana"/>
        </w:rPr>
      </w:pPr>
      <w:r w:rsidRPr="00024D43">
        <w:rPr>
          <w:rFonts w:ascii="Verdana" w:hAnsi="Verdana"/>
        </w:rPr>
        <w:t>Apart from that stock is less sensitive compare to index having beta of 0.55. It ensures it would not correct significantly even overall index correct sharply. For that the stoc</w:t>
      </w:r>
      <w:r w:rsidR="004A7E5F" w:rsidRPr="00024D43">
        <w:rPr>
          <w:rFonts w:ascii="Verdana" w:hAnsi="Verdana"/>
        </w:rPr>
        <w:t>k nev</w:t>
      </w:r>
      <w:r w:rsidR="0095734B" w:rsidRPr="00024D43">
        <w:rPr>
          <w:rFonts w:ascii="Verdana" w:hAnsi="Verdana"/>
        </w:rPr>
        <w:t>er broke the level</w:t>
      </w:r>
      <w:r w:rsidR="004A7E5F" w:rsidRPr="00024D43">
        <w:rPr>
          <w:rFonts w:ascii="Verdana" w:hAnsi="Verdana"/>
        </w:rPr>
        <w:t xml:space="preserve"> $57</w:t>
      </w:r>
      <w:r w:rsidR="0095734B" w:rsidRPr="00024D43">
        <w:rPr>
          <w:rFonts w:ascii="Verdana" w:hAnsi="Verdana"/>
        </w:rPr>
        <w:t xml:space="preserve"> in last one year and</w:t>
      </w:r>
      <w:r w:rsidR="004A7E5F" w:rsidRPr="00024D43">
        <w:rPr>
          <w:rFonts w:ascii="Verdana" w:hAnsi="Verdana"/>
        </w:rPr>
        <w:t xml:space="preserve"> maintained a range between $ 57.50-68.05 proving the above statement.</w:t>
      </w:r>
      <w:r w:rsidR="00223109" w:rsidRPr="00024D43">
        <w:rPr>
          <w:rFonts w:ascii="Verdana" w:hAnsi="Verdana"/>
        </w:rPr>
        <w:t xml:space="preserve"> So investing in this stock would preserve your capital</w:t>
      </w:r>
      <w:r w:rsidR="000B7F71" w:rsidRPr="00024D43">
        <w:rPr>
          <w:rFonts w:ascii="Verdana" w:hAnsi="Verdana"/>
        </w:rPr>
        <w:t xml:space="preserve"> in this volatile market</w:t>
      </w:r>
      <w:r w:rsidR="00223109" w:rsidRPr="00024D43">
        <w:rPr>
          <w:rFonts w:ascii="Verdana" w:hAnsi="Verdana"/>
        </w:rPr>
        <w:t xml:space="preserve"> and looking </w:t>
      </w:r>
      <w:r w:rsidR="00F52AEF">
        <w:rPr>
          <w:rFonts w:ascii="Verdana" w:hAnsi="Verdana"/>
        </w:rPr>
        <w:t xml:space="preserve">at </w:t>
      </w:r>
      <w:r w:rsidR="00223109" w:rsidRPr="00024D43">
        <w:rPr>
          <w:rFonts w:ascii="Verdana" w:hAnsi="Verdana"/>
        </w:rPr>
        <w:t>current turmoil in world equity market</w:t>
      </w:r>
      <w:r w:rsidR="000B7F71" w:rsidRPr="00024D43">
        <w:rPr>
          <w:rFonts w:ascii="Verdana" w:hAnsi="Verdana"/>
        </w:rPr>
        <w:t xml:space="preserve"> it is advisable to invest in such defensive stock.</w:t>
      </w:r>
      <w:r w:rsidR="005C6543" w:rsidRPr="00024D43">
        <w:rPr>
          <w:rFonts w:ascii="Verdana" w:hAnsi="Verdana"/>
        </w:rPr>
        <w:t xml:space="preserve"> </w:t>
      </w:r>
    </w:p>
    <w:p w:rsidR="00E82F9C" w:rsidRPr="00694DF1" w:rsidRDefault="007E660D" w:rsidP="00C558D7">
      <w:pPr>
        <w:spacing w:line="480" w:lineRule="auto"/>
        <w:rPr>
          <w:rFonts w:ascii="Verdana" w:hAnsi="Verdana"/>
          <w:b/>
          <w:sz w:val="24"/>
          <w:szCs w:val="24"/>
          <w:u w:val="single"/>
        </w:rPr>
      </w:pPr>
      <w:r w:rsidRPr="00694DF1">
        <w:rPr>
          <w:rFonts w:ascii="Verdana" w:hAnsi="Verdana"/>
          <w:b/>
          <w:u w:val="single"/>
        </w:rPr>
        <w:t xml:space="preserve">Stock Price Performance </w:t>
      </w:r>
    </w:p>
    <w:p w:rsidR="00E82F9C" w:rsidRPr="00024D43" w:rsidRDefault="00E82F9C" w:rsidP="00024D43">
      <w:pPr>
        <w:spacing w:line="480" w:lineRule="auto"/>
        <w:jc w:val="both"/>
        <w:rPr>
          <w:rFonts w:ascii="Verdana" w:hAnsi="Verdana"/>
        </w:rPr>
      </w:pPr>
      <w:r w:rsidRPr="00024D43">
        <w:rPr>
          <w:rFonts w:ascii="Verdana" w:hAnsi="Verdana"/>
        </w:rPr>
        <w:t xml:space="preserve">Historically stock remained very defensive preserving capital for the investor rather eroding it. Stock traded at </w:t>
      </w:r>
      <w:r w:rsidR="00C758E2">
        <w:rPr>
          <w:rFonts w:ascii="Verdana" w:hAnsi="Verdana"/>
        </w:rPr>
        <w:t xml:space="preserve">the levels of </w:t>
      </w:r>
      <w:r w:rsidRPr="00024D43">
        <w:rPr>
          <w:rFonts w:ascii="Verdana" w:hAnsi="Verdana"/>
        </w:rPr>
        <w:t xml:space="preserve">$62 in last 5 years monthly average reflecting that stock is very strong at the </w:t>
      </w:r>
      <w:r w:rsidR="00C758E2">
        <w:rPr>
          <w:rFonts w:ascii="Verdana" w:hAnsi="Verdana"/>
        </w:rPr>
        <w:t>present level.</w:t>
      </w:r>
      <w:r w:rsidRPr="00024D43">
        <w:rPr>
          <w:rFonts w:ascii="Verdana" w:hAnsi="Verdana"/>
        </w:rPr>
        <w:t xml:space="preserve"> Further company is engaged in the business of health care which is a defensive sector and free from the impact of any downturn in economy.</w:t>
      </w:r>
      <w:r w:rsidR="00973105" w:rsidRPr="00024D43">
        <w:rPr>
          <w:rFonts w:ascii="Verdana" w:hAnsi="Verdana"/>
        </w:rPr>
        <w:t xml:space="preserve"> This implies that investors have confidence on the stock and they knew investing in this stock would preserve their capital in </w:t>
      </w:r>
      <w:r w:rsidR="00973105" w:rsidRPr="00024D43">
        <w:rPr>
          <w:rFonts w:ascii="Verdana" w:hAnsi="Verdana"/>
        </w:rPr>
        <w:lastRenderedPageBreak/>
        <w:t xml:space="preserve">future which is </w:t>
      </w:r>
      <w:r w:rsidR="00673FCE" w:rsidRPr="00024D43">
        <w:rPr>
          <w:rFonts w:ascii="Verdana" w:hAnsi="Verdana"/>
        </w:rPr>
        <w:t>very essential in this uncertain environment</w:t>
      </w:r>
      <w:r w:rsidR="00973105" w:rsidRPr="00024D43">
        <w:rPr>
          <w:rFonts w:ascii="Verdana" w:hAnsi="Verdana"/>
        </w:rPr>
        <w:t>.</w:t>
      </w:r>
      <w:r w:rsidR="002E154C">
        <w:rPr>
          <w:rFonts w:ascii="Verdana" w:hAnsi="Verdana"/>
        </w:rPr>
        <w:t xml:space="preserve"> Below is the monthly price chart of the stock for past five years</w:t>
      </w:r>
      <w:r w:rsidR="003C4261">
        <w:rPr>
          <w:rFonts w:ascii="Verdana" w:hAnsi="Verdana"/>
        </w:rPr>
        <w:t xml:space="preserve">. </w:t>
      </w:r>
      <w:r w:rsidR="002E154C">
        <w:rPr>
          <w:rFonts w:ascii="Verdana" w:hAnsi="Verdana"/>
        </w:rPr>
        <w:t xml:space="preserve"> </w:t>
      </w:r>
    </w:p>
    <w:p w:rsidR="001A5B6D" w:rsidRDefault="00790288" w:rsidP="00C558D7">
      <w:pPr>
        <w:spacing w:line="480" w:lineRule="auto"/>
      </w:pPr>
      <w:r>
        <w:rPr>
          <w:noProof/>
          <w:lang w:val="en-IN" w:eastAsia="en-IN"/>
        </w:rPr>
        <w:drawing>
          <wp:inline distT="0" distB="0" distL="0" distR="0">
            <wp:extent cx="5943600" cy="4048125"/>
            <wp:effectExtent l="19050" t="0" r="1905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105" w:rsidRPr="00D218F2" w:rsidRDefault="00C738F8" w:rsidP="00C558D7">
      <w:pPr>
        <w:spacing w:line="480" w:lineRule="auto"/>
        <w:rPr>
          <w:rFonts w:ascii="Verdana" w:hAnsi="Verdana"/>
          <w:szCs w:val="20"/>
          <w:u w:val="single"/>
        </w:rPr>
      </w:pPr>
      <w:r w:rsidRPr="00D218F2">
        <w:rPr>
          <w:rFonts w:ascii="Verdana" w:hAnsi="Verdana"/>
          <w:szCs w:val="20"/>
          <w:u w:val="single"/>
        </w:rPr>
        <w:t xml:space="preserve">Source: </w:t>
      </w:r>
      <w:r w:rsidR="00D218F2" w:rsidRPr="00D218F2">
        <w:rPr>
          <w:rFonts w:ascii="Verdana" w:hAnsi="Verdana"/>
          <w:szCs w:val="20"/>
          <w:u w:val="single"/>
        </w:rPr>
        <w:t>Y</w:t>
      </w:r>
      <w:r w:rsidRPr="00D218F2">
        <w:rPr>
          <w:rFonts w:ascii="Verdana" w:hAnsi="Verdana"/>
          <w:szCs w:val="20"/>
          <w:u w:val="single"/>
        </w:rPr>
        <w:t>ahoo</w:t>
      </w:r>
      <w:r w:rsidR="00D218F2" w:rsidRPr="00D218F2">
        <w:rPr>
          <w:rFonts w:ascii="Verdana" w:hAnsi="Verdana"/>
          <w:szCs w:val="20"/>
          <w:u w:val="single"/>
        </w:rPr>
        <w:t xml:space="preserve"> </w:t>
      </w:r>
      <w:r w:rsidRPr="00D218F2">
        <w:rPr>
          <w:rFonts w:ascii="Verdana" w:hAnsi="Verdana"/>
          <w:szCs w:val="20"/>
          <w:u w:val="single"/>
        </w:rPr>
        <w:t>finance</w:t>
      </w:r>
    </w:p>
    <w:p w:rsidR="00C738F8" w:rsidRPr="00024D43" w:rsidRDefault="00C738F8" w:rsidP="00024D43">
      <w:pPr>
        <w:spacing w:line="480" w:lineRule="auto"/>
        <w:jc w:val="both"/>
        <w:rPr>
          <w:rFonts w:ascii="Verdana" w:hAnsi="Verdana"/>
        </w:rPr>
      </w:pPr>
      <w:r w:rsidRPr="00024D43">
        <w:rPr>
          <w:rFonts w:ascii="Verdana" w:hAnsi="Verdana"/>
        </w:rPr>
        <w:t>We have projected the next 12 months price by using 9 months moving average and derive</w:t>
      </w:r>
      <w:r w:rsidR="00462575">
        <w:rPr>
          <w:rFonts w:ascii="Verdana" w:hAnsi="Verdana"/>
        </w:rPr>
        <w:t>d</w:t>
      </w:r>
      <w:r w:rsidRPr="00024D43">
        <w:rPr>
          <w:rFonts w:ascii="Verdana" w:hAnsi="Verdana"/>
        </w:rPr>
        <w:t xml:space="preserve"> that stock at the end of December 2012 </w:t>
      </w:r>
      <w:r w:rsidR="00462575">
        <w:rPr>
          <w:rFonts w:ascii="Verdana" w:hAnsi="Verdana"/>
        </w:rPr>
        <w:t xml:space="preserve">should be around </w:t>
      </w:r>
      <w:r w:rsidRPr="00024D43">
        <w:rPr>
          <w:rFonts w:ascii="Verdana" w:hAnsi="Verdana"/>
        </w:rPr>
        <w:t xml:space="preserve">$64.67, implying an upside of </w:t>
      </w:r>
      <w:r w:rsidR="00237486">
        <w:rPr>
          <w:rFonts w:ascii="Verdana" w:hAnsi="Verdana"/>
        </w:rPr>
        <w:t>0.6</w:t>
      </w:r>
      <w:r w:rsidRPr="00024D43">
        <w:rPr>
          <w:rFonts w:ascii="Verdana" w:hAnsi="Verdana"/>
        </w:rPr>
        <w:t>% from current level ($</w:t>
      </w:r>
      <w:r w:rsidR="00237486">
        <w:rPr>
          <w:rFonts w:ascii="Verdana" w:hAnsi="Verdana"/>
        </w:rPr>
        <w:t>64.45</w:t>
      </w:r>
      <w:r w:rsidRPr="00024D43">
        <w:rPr>
          <w:rFonts w:ascii="Verdana" w:hAnsi="Verdana"/>
        </w:rPr>
        <w:t>).</w:t>
      </w:r>
      <w:r w:rsidR="00042982">
        <w:rPr>
          <w:rFonts w:ascii="Verdana" w:hAnsi="Verdana"/>
        </w:rPr>
        <w:t xml:space="preserve"> However, based on the P/E multiple we expect the stock to reach $67.07 by 2012. </w:t>
      </w:r>
      <w:r w:rsidR="00835C8D">
        <w:rPr>
          <w:rFonts w:ascii="Verdana" w:hAnsi="Verdana"/>
        </w:rPr>
        <w:t>The difference here is because of the valuation method. While the moving average is just a theoretical method of calculation, the P/E is more justified and relevant method to estimate the target price</w:t>
      </w:r>
      <w:r w:rsidR="006D328B">
        <w:rPr>
          <w:rFonts w:ascii="Verdana" w:hAnsi="Verdana"/>
        </w:rPr>
        <w:t xml:space="preserve"> taking in consideration the market scenario and fundamental of the company</w:t>
      </w:r>
      <w:r w:rsidR="00835C8D">
        <w:rPr>
          <w:rFonts w:ascii="Verdana" w:hAnsi="Verdana"/>
        </w:rPr>
        <w:t xml:space="preserve">. </w:t>
      </w:r>
    </w:p>
    <w:p w:rsidR="00466D6D" w:rsidRDefault="006D328B" w:rsidP="00466D6D">
      <w:pPr>
        <w:spacing w:line="480" w:lineRule="auto"/>
        <w:jc w:val="both"/>
        <w:rPr>
          <w:rFonts w:ascii="Verdana" w:hAnsi="Verdana"/>
        </w:rPr>
      </w:pPr>
      <w:r>
        <w:rPr>
          <w:rFonts w:ascii="Verdana" w:hAnsi="Verdana"/>
        </w:rPr>
        <w:lastRenderedPageBreak/>
        <w:t>Also, s</w:t>
      </w:r>
      <w:r w:rsidR="000A3C17" w:rsidRPr="00024D43">
        <w:rPr>
          <w:rFonts w:ascii="Verdana" w:hAnsi="Verdana"/>
        </w:rPr>
        <w:t>tock had traded in the range of $50 to $70 between the period of 2006 to 2011, implying that stock has strong support at the level of $50 and strong resistance at level of $67.</w:t>
      </w:r>
      <w:r w:rsidR="00781B01" w:rsidRPr="00024D43">
        <w:rPr>
          <w:rFonts w:ascii="Verdana" w:hAnsi="Verdana"/>
        </w:rPr>
        <w:t xml:space="preserve"> Even in 2008 recession stock did not break this mentioned level, thus we expect stock would remain defensive and th</w:t>
      </w:r>
      <w:r w:rsidR="00941990" w:rsidRPr="00024D43">
        <w:rPr>
          <w:rFonts w:ascii="Verdana" w:hAnsi="Verdana"/>
        </w:rPr>
        <w:t xml:space="preserve">ere would be not </w:t>
      </w:r>
      <w:r w:rsidR="00613BCB">
        <w:rPr>
          <w:rFonts w:ascii="Verdana" w:hAnsi="Verdana"/>
        </w:rPr>
        <w:t xml:space="preserve">much </w:t>
      </w:r>
      <w:r w:rsidR="00781B01" w:rsidRPr="00024D43">
        <w:rPr>
          <w:rFonts w:ascii="Verdana" w:hAnsi="Verdana"/>
        </w:rPr>
        <w:t>upside from current level</w:t>
      </w:r>
      <w:r w:rsidR="00941990" w:rsidRPr="00024D43">
        <w:rPr>
          <w:rFonts w:ascii="Verdana" w:hAnsi="Verdana"/>
        </w:rPr>
        <w:t xml:space="preserve"> due to uncertain economic environment across the World. </w:t>
      </w:r>
      <w:r w:rsidR="0066693F" w:rsidRPr="00024D43">
        <w:rPr>
          <w:rFonts w:ascii="Verdana" w:hAnsi="Verdana"/>
        </w:rPr>
        <w:t xml:space="preserve"> </w:t>
      </w:r>
      <w:r w:rsidR="001E494C">
        <w:rPr>
          <w:rFonts w:ascii="Verdana" w:hAnsi="Verdana"/>
        </w:rPr>
        <w:t xml:space="preserve">Based on the share price movement, we could say that the </w:t>
      </w:r>
      <w:r w:rsidR="0066693F" w:rsidRPr="00024D43">
        <w:rPr>
          <w:rFonts w:ascii="Verdana" w:hAnsi="Verdana"/>
        </w:rPr>
        <w:t xml:space="preserve">stock in next one year would generate </w:t>
      </w:r>
      <w:r w:rsidR="00237486">
        <w:rPr>
          <w:rFonts w:ascii="Verdana" w:hAnsi="Verdana"/>
        </w:rPr>
        <w:t>~1.0</w:t>
      </w:r>
      <w:r w:rsidR="0066693F" w:rsidRPr="00024D43">
        <w:rPr>
          <w:rFonts w:ascii="Verdana" w:hAnsi="Verdana"/>
        </w:rPr>
        <w:t xml:space="preserve">% </w:t>
      </w:r>
      <w:r w:rsidR="001E494C">
        <w:rPr>
          <w:rFonts w:ascii="Verdana" w:hAnsi="Verdana"/>
        </w:rPr>
        <w:t xml:space="preserve">(as mentioned above </w:t>
      </w:r>
      <w:r w:rsidR="00237486">
        <w:rPr>
          <w:rFonts w:ascii="Verdana" w:hAnsi="Verdana"/>
        </w:rPr>
        <w:t>0.6</w:t>
      </w:r>
      <w:r w:rsidR="001E494C">
        <w:rPr>
          <w:rFonts w:ascii="Verdana" w:hAnsi="Verdana"/>
        </w:rPr>
        <w:t xml:space="preserve">%) </w:t>
      </w:r>
      <w:r w:rsidR="0066693F" w:rsidRPr="00024D43">
        <w:rPr>
          <w:rFonts w:ascii="Verdana" w:hAnsi="Verdana"/>
        </w:rPr>
        <w:t>return from current level by reaching at $64.67</w:t>
      </w:r>
      <w:r w:rsidR="00DD2CA8">
        <w:t xml:space="preserve"> </w:t>
      </w:r>
      <w:r w:rsidR="00DD2CA8" w:rsidRPr="00DD2CA8">
        <w:rPr>
          <w:rFonts w:ascii="Verdana" w:hAnsi="Verdana"/>
        </w:rPr>
        <w:t xml:space="preserve">but as mentioned, based on valuation matrix, it may generate 4.1% return. </w:t>
      </w:r>
    </w:p>
    <w:p w:rsidR="000A3D53" w:rsidRPr="00466D6D" w:rsidRDefault="00D35D32" w:rsidP="00466D6D">
      <w:pPr>
        <w:spacing w:line="480" w:lineRule="auto"/>
        <w:jc w:val="both"/>
        <w:rPr>
          <w:rFonts w:ascii="Verdana" w:hAnsi="Verdana"/>
        </w:rPr>
      </w:pPr>
      <w:r w:rsidRPr="0072139D">
        <w:rPr>
          <w:rFonts w:ascii="Verdana" w:hAnsi="Verdana"/>
          <w:b/>
          <w:szCs w:val="24"/>
          <w:u w:val="single"/>
        </w:rPr>
        <w:t>Key points that would fuel company’s future performance and its stock price</w:t>
      </w:r>
    </w:p>
    <w:p w:rsidR="009E7B95" w:rsidRPr="00024D43" w:rsidRDefault="001F6F4A" w:rsidP="00032AFD">
      <w:pPr>
        <w:spacing w:line="480" w:lineRule="auto"/>
        <w:jc w:val="both"/>
        <w:rPr>
          <w:rFonts w:ascii="Verdana" w:hAnsi="Verdana"/>
        </w:rPr>
      </w:pPr>
      <w:r w:rsidRPr="00024D43">
        <w:rPr>
          <w:rFonts w:ascii="Verdana" w:hAnsi="Verdana"/>
        </w:rPr>
        <w:t>Company remained</w:t>
      </w:r>
      <w:r w:rsidR="00F55A88" w:rsidRPr="00024D43">
        <w:rPr>
          <w:rFonts w:ascii="Verdana" w:hAnsi="Verdana"/>
        </w:rPr>
        <w:t xml:space="preserve"> consistent in paying dividend. Company had increased its dividend payout ratio in regular interval, which has increased from 39% in 2008 to 44% in 2010 </w:t>
      </w:r>
      <w:r w:rsidR="00FC6509">
        <w:rPr>
          <w:rFonts w:ascii="Verdana" w:hAnsi="Verdana"/>
        </w:rPr>
        <w:t>(Check Sheet “</w:t>
      </w:r>
      <w:r w:rsidR="00FC6509" w:rsidRPr="00FC6509">
        <w:rPr>
          <w:rFonts w:ascii="Verdana" w:hAnsi="Verdana"/>
        </w:rPr>
        <w:t>Income statement</w:t>
      </w:r>
      <w:r w:rsidR="00FC6509">
        <w:rPr>
          <w:rFonts w:ascii="Verdana" w:hAnsi="Verdana"/>
        </w:rPr>
        <w:t xml:space="preserve">” Cell D33 and E33) </w:t>
      </w:r>
      <w:r w:rsidR="00F55A88" w:rsidRPr="00024D43">
        <w:rPr>
          <w:rFonts w:ascii="Verdana" w:hAnsi="Verdana"/>
        </w:rPr>
        <w:t>and we expect company would maintain this trend in coming years also.</w:t>
      </w:r>
      <w:r w:rsidR="00634C7B" w:rsidRPr="00024D43">
        <w:rPr>
          <w:rFonts w:ascii="Verdana" w:hAnsi="Verdana"/>
        </w:rPr>
        <w:t xml:space="preserve"> In uncertain market where companies are under stressed to sustain its profitability, there J&amp;J paying dividend consistently </w:t>
      </w:r>
      <w:r w:rsidR="00FC6509">
        <w:rPr>
          <w:rFonts w:ascii="Verdana" w:hAnsi="Verdana"/>
        </w:rPr>
        <w:t xml:space="preserve">is </w:t>
      </w:r>
      <w:r w:rsidR="00634C7B" w:rsidRPr="00024D43">
        <w:rPr>
          <w:rFonts w:ascii="Verdana" w:hAnsi="Verdana"/>
        </w:rPr>
        <w:t xml:space="preserve">offsetting </w:t>
      </w:r>
      <w:proofErr w:type="gramStart"/>
      <w:r w:rsidR="00634C7B" w:rsidRPr="00024D43">
        <w:rPr>
          <w:rFonts w:ascii="Verdana" w:hAnsi="Verdana"/>
        </w:rPr>
        <w:t>investors</w:t>
      </w:r>
      <w:proofErr w:type="gramEnd"/>
      <w:r w:rsidR="00634C7B" w:rsidRPr="00024D43">
        <w:rPr>
          <w:rFonts w:ascii="Verdana" w:hAnsi="Verdana"/>
        </w:rPr>
        <w:t xml:space="preserve"> loss which had eroded in these uncertain market. </w:t>
      </w:r>
      <w:r w:rsidR="003E5FCA" w:rsidRPr="00024D43">
        <w:rPr>
          <w:rFonts w:ascii="Verdana" w:hAnsi="Verdana"/>
        </w:rPr>
        <w:t xml:space="preserve"> Company had maintained its dividend yield at 3% in last 3 years</w:t>
      </w:r>
      <w:r w:rsidR="00FC6509">
        <w:rPr>
          <w:rFonts w:ascii="Verdana" w:hAnsi="Verdana"/>
        </w:rPr>
        <w:t xml:space="preserve"> (Check “</w:t>
      </w:r>
      <w:r w:rsidR="00FC6509" w:rsidRPr="00FC6509">
        <w:rPr>
          <w:rFonts w:ascii="Verdana" w:hAnsi="Verdana"/>
        </w:rPr>
        <w:t>Income statement</w:t>
      </w:r>
      <w:r w:rsidR="00FC6509">
        <w:rPr>
          <w:rFonts w:ascii="Verdana" w:hAnsi="Verdana"/>
        </w:rPr>
        <w:t>”</w:t>
      </w:r>
      <w:r w:rsidR="00BC77DD">
        <w:rPr>
          <w:rFonts w:ascii="Verdana" w:hAnsi="Verdana"/>
        </w:rPr>
        <w:t xml:space="preserve"> Cell D37, E37 and F37)</w:t>
      </w:r>
      <w:r w:rsidR="003E5FCA" w:rsidRPr="00024D43">
        <w:rPr>
          <w:rFonts w:ascii="Verdana" w:hAnsi="Verdana"/>
        </w:rPr>
        <w:t>, reflecting company’s strong performance in its business operations.</w:t>
      </w:r>
      <w:r w:rsidR="00DC25B8" w:rsidRPr="00024D43">
        <w:rPr>
          <w:rFonts w:ascii="Verdana" w:hAnsi="Verdana"/>
        </w:rPr>
        <w:t xml:space="preserve"> Dividend yield at 3% is quite impressive which would lure investors to take long position on this stock in future.</w:t>
      </w:r>
    </w:p>
    <w:p w:rsidR="00103D66" w:rsidRDefault="00103D66" w:rsidP="00C738F8">
      <w:pPr>
        <w:spacing w:line="480" w:lineRule="auto"/>
      </w:pPr>
    </w:p>
    <w:p w:rsidR="00024D43" w:rsidRDefault="00024D43" w:rsidP="00C738F8">
      <w:pPr>
        <w:spacing w:line="480" w:lineRule="auto"/>
        <w:rPr>
          <w:b/>
          <w:sz w:val="24"/>
          <w:szCs w:val="24"/>
          <w:u w:val="single"/>
        </w:rPr>
      </w:pPr>
    </w:p>
    <w:p w:rsidR="0005109A" w:rsidRPr="00763AEC" w:rsidRDefault="00103D66" w:rsidP="00C738F8">
      <w:pPr>
        <w:spacing w:line="480" w:lineRule="auto"/>
        <w:rPr>
          <w:rFonts w:ascii="Verdana" w:hAnsi="Verdana"/>
          <w:b/>
          <w:sz w:val="24"/>
          <w:szCs w:val="24"/>
          <w:u w:val="single"/>
        </w:rPr>
      </w:pPr>
      <w:r w:rsidRPr="00763AEC">
        <w:rPr>
          <w:rFonts w:ascii="Verdana" w:hAnsi="Verdana"/>
          <w:b/>
          <w:sz w:val="24"/>
          <w:szCs w:val="24"/>
          <w:u w:val="single"/>
        </w:rPr>
        <w:lastRenderedPageBreak/>
        <w:t>Dividend per share with dividend yield</w:t>
      </w:r>
    </w:p>
    <w:p w:rsidR="0005109A" w:rsidRDefault="00790288" w:rsidP="00C738F8">
      <w:pPr>
        <w:spacing w:line="480" w:lineRule="auto"/>
      </w:pPr>
      <w:r>
        <w:rPr>
          <w:noProof/>
          <w:lang w:val="en-IN" w:eastAsia="en-IN"/>
        </w:rPr>
        <w:drawing>
          <wp:inline distT="0" distB="0" distL="0" distR="0">
            <wp:extent cx="6143625" cy="33909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63AEC" w:rsidRPr="00763AEC">
        <w:rPr>
          <w:rFonts w:ascii="Verdana" w:hAnsi="Verdana"/>
          <w:sz w:val="20"/>
          <w:szCs w:val="20"/>
        </w:rPr>
        <w:t>Source: Company’s income statement &amp; yahoo finance</w:t>
      </w:r>
    </w:p>
    <w:p w:rsidR="00C738F8" w:rsidRDefault="0014673E" w:rsidP="00A166F7">
      <w:pPr>
        <w:spacing w:line="480" w:lineRule="auto"/>
        <w:jc w:val="both"/>
        <w:rPr>
          <w:rFonts w:ascii="Verdana" w:hAnsi="Verdana"/>
        </w:rPr>
      </w:pPr>
      <w:r>
        <w:rPr>
          <w:rFonts w:ascii="Verdana" w:hAnsi="Verdana"/>
        </w:rPr>
        <w:t>Company</w:t>
      </w:r>
      <w:r w:rsidR="00032AFD">
        <w:rPr>
          <w:rFonts w:ascii="Verdana" w:hAnsi="Verdana"/>
        </w:rPr>
        <w:t xml:space="preserve"> has maintained</w:t>
      </w:r>
      <w:r>
        <w:rPr>
          <w:rFonts w:ascii="Verdana" w:hAnsi="Verdana"/>
        </w:rPr>
        <w:t xml:space="preserve"> its capital structure flexible without over leveraging its balance sheet</w:t>
      </w:r>
      <w:r w:rsidR="00032AFD">
        <w:rPr>
          <w:rFonts w:ascii="Verdana" w:hAnsi="Verdana"/>
        </w:rPr>
        <w:t>. Long term debt/equity ratio remained</w:t>
      </w:r>
      <w:r w:rsidR="00FC498E">
        <w:rPr>
          <w:rFonts w:ascii="Verdana" w:hAnsi="Verdana"/>
        </w:rPr>
        <w:t xml:space="preserve"> well</w:t>
      </w:r>
      <w:r w:rsidR="00032AFD">
        <w:rPr>
          <w:rFonts w:ascii="Verdana" w:hAnsi="Verdana"/>
        </w:rPr>
        <w:t xml:space="preserve"> below 1x</w:t>
      </w:r>
      <w:r w:rsidR="00BC77DD">
        <w:rPr>
          <w:rFonts w:ascii="Verdana" w:hAnsi="Verdana"/>
        </w:rPr>
        <w:t xml:space="preserve"> (Check "</w:t>
      </w:r>
      <w:r w:rsidR="00790288">
        <w:rPr>
          <w:rFonts w:ascii="Verdana" w:hAnsi="Verdana"/>
        </w:rPr>
        <w:t>Balance Sheet” Cell D42 and E42</w:t>
      </w:r>
      <w:r w:rsidR="00BB0966">
        <w:rPr>
          <w:rFonts w:ascii="Verdana" w:hAnsi="Verdana"/>
        </w:rPr>
        <w:t>)</w:t>
      </w:r>
      <w:r w:rsidR="00BC77DD">
        <w:rPr>
          <w:rFonts w:ascii="Verdana" w:hAnsi="Verdana"/>
          <w:vanish/>
        </w:rPr>
        <w:t xml:space="preserve">(Check 7, E37 and F37) </w:t>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BC77DD">
        <w:rPr>
          <w:rFonts w:ascii="Verdana" w:hAnsi="Verdana"/>
          <w:vanish/>
        </w:rPr>
        <w:pgNum/>
      </w:r>
      <w:r w:rsidR="00032AFD">
        <w:rPr>
          <w:rFonts w:ascii="Verdana" w:hAnsi="Verdana"/>
        </w:rPr>
        <w:t xml:space="preserve">, </w:t>
      </w:r>
      <w:r w:rsidR="00FC498E">
        <w:rPr>
          <w:rFonts w:ascii="Verdana" w:hAnsi="Verdana"/>
        </w:rPr>
        <w:t xml:space="preserve">reflecting company’s ability to operate its business along with its expansion without </w:t>
      </w:r>
      <w:proofErr w:type="gramStart"/>
      <w:r w:rsidR="00FC498E">
        <w:rPr>
          <w:rFonts w:ascii="Verdana" w:hAnsi="Verdana"/>
        </w:rPr>
        <w:t>raising</w:t>
      </w:r>
      <w:proofErr w:type="gramEnd"/>
      <w:r w:rsidR="00FC498E">
        <w:rPr>
          <w:rFonts w:ascii="Verdana" w:hAnsi="Verdana"/>
        </w:rPr>
        <w:t xml:space="preserve"> too much of debt. Less debt in</w:t>
      </w:r>
      <w:r w:rsidR="00A166F7">
        <w:rPr>
          <w:rFonts w:ascii="Verdana" w:hAnsi="Verdana"/>
        </w:rPr>
        <w:t xml:space="preserve"> the books had reduced company’s interest cost and thus enhanced profitability of the company. Besides, it also leaves room for J&amp;J to raise debt in future to fund its future expansion plan without downgrading its credibility. </w:t>
      </w:r>
    </w:p>
    <w:p w:rsidR="00A166F7" w:rsidRDefault="00A166F7" w:rsidP="00A166F7">
      <w:pPr>
        <w:spacing w:line="480" w:lineRule="auto"/>
        <w:jc w:val="both"/>
        <w:rPr>
          <w:rFonts w:ascii="Verdana" w:hAnsi="Verdana"/>
        </w:rPr>
      </w:pPr>
      <w:r>
        <w:rPr>
          <w:rFonts w:ascii="Verdana" w:hAnsi="Verdana"/>
        </w:rPr>
        <w:t xml:space="preserve">Company has </w:t>
      </w:r>
      <w:proofErr w:type="spellStart"/>
      <w:r>
        <w:rPr>
          <w:rFonts w:ascii="Verdana" w:hAnsi="Verdana"/>
        </w:rPr>
        <w:t>networth</w:t>
      </w:r>
      <w:proofErr w:type="spellEnd"/>
      <w:r>
        <w:rPr>
          <w:rFonts w:ascii="Verdana" w:hAnsi="Verdana"/>
        </w:rPr>
        <w:t xml:space="preserve"> of $ 56,579 in 2010 which would support any type of expansion plan in future. So company could easily fund its future expansion from its internal accruals. We further expect that increase in profitability in coming years </w:t>
      </w:r>
      <w:r>
        <w:rPr>
          <w:rFonts w:ascii="Verdana" w:hAnsi="Verdana"/>
        </w:rPr>
        <w:lastRenderedPageBreak/>
        <w:t xml:space="preserve">would enhance its </w:t>
      </w:r>
      <w:proofErr w:type="spellStart"/>
      <w:r>
        <w:rPr>
          <w:rFonts w:ascii="Verdana" w:hAnsi="Verdana"/>
        </w:rPr>
        <w:t>networth</w:t>
      </w:r>
      <w:proofErr w:type="spellEnd"/>
      <w:r>
        <w:rPr>
          <w:rFonts w:ascii="Verdana" w:hAnsi="Verdana"/>
        </w:rPr>
        <w:t xml:space="preserve"> more.</w:t>
      </w:r>
      <w:r w:rsidR="0029349C">
        <w:rPr>
          <w:rFonts w:ascii="Verdana" w:hAnsi="Verdana"/>
        </w:rPr>
        <w:t xml:space="preserve"> This would attract investors to be bullish on this stock, expecting good return generated from it without any further capital erosion.</w:t>
      </w:r>
    </w:p>
    <w:p w:rsidR="00763AEC" w:rsidRPr="00763AEC" w:rsidRDefault="00763AEC" w:rsidP="00A166F7">
      <w:pPr>
        <w:spacing w:line="480" w:lineRule="auto"/>
        <w:jc w:val="both"/>
        <w:rPr>
          <w:rFonts w:ascii="Verdana" w:hAnsi="Verdana"/>
          <w:b/>
          <w:sz w:val="24"/>
          <w:szCs w:val="24"/>
          <w:u w:val="single"/>
        </w:rPr>
      </w:pPr>
      <w:r w:rsidRPr="00763AEC">
        <w:rPr>
          <w:rFonts w:ascii="Verdana" w:hAnsi="Verdana"/>
          <w:b/>
          <w:sz w:val="24"/>
          <w:szCs w:val="24"/>
          <w:u w:val="single"/>
        </w:rPr>
        <w:t xml:space="preserve">Long term debt </w:t>
      </w:r>
      <w:proofErr w:type="spellStart"/>
      <w:r w:rsidRPr="00763AEC">
        <w:rPr>
          <w:rFonts w:ascii="Verdana" w:hAnsi="Verdana"/>
          <w:b/>
          <w:sz w:val="24"/>
          <w:szCs w:val="24"/>
          <w:u w:val="single"/>
        </w:rPr>
        <w:t>vs</w:t>
      </w:r>
      <w:proofErr w:type="spellEnd"/>
      <w:r w:rsidRPr="00763AEC">
        <w:rPr>
          <w:rFonts w:ascii="Verdana" w:hAnsi="Verdana"/>
          <w:b/>
          <w:sz w:val="24"/>
          <w:szCs w:val="24"/>
          <w:u w:val="single"/>
        </w:rPr>
        <w:t xml:space="preserve"> </w:t>
      </w:r>
      <w:proofErr w:type="spellStart"/>
      <w:r w:rsidRPr="00763AEC">
        <w:rPr>
          <w:rFonts w:ascii="Verdana" w:hAnsi="Verdana"/>
          <w:b/>
          <w:sz w:val="24"/>
          <w:szCs w:val="24"/>
          <w:u w:val="single"/>
        </w:rPr>
        <w:t>Networth</w:t>
      </w:r>
      <w:proofErr w:type="spellEnd"/>
    </w:p>
    <w:p w:rsidR="003A5FFD" w:rsidRDefault="00790288" w:rsidP="00A166F7">
      <w:pPr>
        <w:spacing w:line="480" w:lineRule="auto"/>
        <w:jc w:val="both"/>
        <w:rPr>
          <w:rFonts w:ascii="Verdana" w:hAnsi="Verdana"/>
          <w:sz w:val="20"/>
          <w:szCs w:val="20"/>
        </w:rPr>
      </w:pPr>
      <w:r>
        <w:rPr>
          <w:rFonts w:ascii="Verdana" w:hAnsi="Verdana"/>
          <w:noProof/>
          <w:lang w:val="en-IN" w:eastAsia="en-IN"/>
        </w:rPr>
        <w:drawing>
          <wp:inline distT="0" distB="0" distL="0" distR="0">
            <wp:extent cx="6143625" cy="31051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3AEC" w:rsidRPr="00763AEC">
        <w:rPr>
          <w:rFonts w:ascii="Verdana" w:hAnsi="Verdana"/>
          <w:sz w:val="20"/>
          <w:szCs w:val="20"/>
        </w:rPr>
        <w:t xml:space="preserve"> Source: Company’</w:t>
      </w:r>
      <w:r w:rsidR="00763AEC">
        <w:rPr>
          <w:rFonts w:ascii="Verdana" w:hAnsi="Verdana"/>
          <w:sz w:val="20"/>
          <w:szCs w:val="20"/>
        </w:rPr>
        <w:t>s balance sheet</w:t>
      </w:r>
      <w:r w:rsidR="00763AEC" w:rsidRPr="00763AEC">
        <w:rPr>
          <w:rFonts w:ascii="Verdana" w:hAnsi="Verdana"/>
          <w:sz w:val="20"/>
          <w:szCs w:val="20"/>
        </w:rPr>
        <w:t xml:space="preserve"> </w:t>
      </w:r>
    </w:p>
    <w:p w:rsidR="005E025B" w:rsidRDefault="005E025B" w:rsidP="00A166F7">
      <w:pPr>
        <w:spacing w:line="480" w:lineRule="auto"/>
        <w:jc w:val="both"/>
        <w:rPr>
          <w:rFonts w:ascii="Verdana" w:hAnsi="Verdana"/>
        </w:rPr>
      </w:pPr>
      <w:r w:rsidRPr="008D7C51">
        <w:rPr>
          <w:rFonts w:ascii="Verdana" w:hAnsi="Verdana"/>
        </w:rPr>
        <w:t>Company’s capital structure comprise of 86% of shareholders equity and only mere 14% of long term debt</w:t>
      </w:r>
      <w:r w:rsidR="00033572">
        <w:rPr>
          <w:rFonts w:ascii="Verdana" w:hAnsi="Verdana"/>
        </w:rPr>
        <w:t xml:space="preserve"> taking the company near to debt free company, thus preserving profit for their share holders.</w:t>
      </w:r>
    </w:p>
    <w:p w:rsidR="00167017" w:rsidRDefault="00790288" w:rsidP="00A166F7">
      <w:pPr>
        <w:spacing w:line="480" w:lineRule="auto"/>
        <w:jc w:val="both"/>
        <w:rPr>
          <w:rFonts w:ascii="Verdana" w:hAnsi="Verdana"/>
        </w:rPr>
      </w:pPr>
      <w:r>
        <w:rPr>
          <w:rFonts w:ascii="Verdana" w:hAnsi="Verdana"/>
          <w:noProof/>
          <w:lang w:val="en-IN" w:eastAsia="en-IN"/>
        </w:rPr>
        <w:drawing>
          <wp:inline distT="0" distB="0" distL="0" distR="0">
            <wp:extent cx="6143625" cy="19716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67017" w:rsidRPr="00167017">
        <w:rPr>
          <w:rFonts w:ascii="Verdana" w:hAnsi="Verdana"/>
          <w:sz w:val="20"/>
          <w:szCs w:val="20"/>
        </w:rPr>
        <w:t xml:space="preserve"> </w:t>
      </w:r>
      <w:r w:rsidR="00167017" w:rsidRPr="00763AEC">
        <w:rPr>
          <w:rFonts w:ascii="Verdana" w:hAnsi="Verdana"/>
          <w:sz w:val="20"/>
          <w:szCs w:val="20"/>
        </w:rPr>
        <w:t>Source: Company’</w:t>
      </w:r>
      <w:r w:rsidR="00167017">
        <w:rPr>
          <w:rFonts w:ascii="Verdana" w:hAnsi="Verdana"/>
          <w:sz w:val="20"/>
          <w:szCs w:val="20"/>
        </w:rPr>
        <w:t>s balance sheet</w:t>
      </w:r>
    </w:p>
    <w:p w:rsidR="00167017" w:rsidRDefault="003D0EDC" w:rsidP="00A166F7">
      <w:pPr>
        <w:spacing w:line="480" w:lineRule="auto"/>
        <w:jc w:val="both"/>
        <w:rPr>
          <w:rFonts w:ascii="Verdana" w:hAnsi="Verdana"/>
        </w:rPr>
      </w:pPr>
      <w:r>
        <w:rPr>
          <w:rFonts w:ascii="Verdana" w:hAnsi="Verdana"/>
        </w:rPr>
        <w:lastRenderedPageBreak/>
        <w:t>Low debts in balance sheet and consistent strong cash flow from operation have enhanced the credit grading of the company which has further reduced the cost of funds of the company. In spite of this challenging global economy, company has maintain</w:t>
      </w:r>
      <w:r w:rsidR="00641236">
        <w:rPr>
          <w:rFonts w:ascii="Verdana" w:hAnsi="Verdana"/>
        </w:rPr>
        <w:t>ed discipline in its financials which aid company to retain its AAA credit rating in 2010</w:t>
      </w:r>
      <w:r w:rsidR="004700B2">
        <w:rPr>
          <w:rFonts w:ascii="Verdana" w:hAnsi="Verdana"/>
        </w:rPr>
        <w:t xml:space="preserve"> (Source: Annual Report 2010)</w:t>
      </w:r>
      <w:r w:rsidR="00641236">
        <w:rPr>
          <w:rFonts w:ascii="Verdana" w:hAnsi="Verdana"/>
        </w:rPr>
        <w:t>.</w:t>
      </w:r>
      <w:r w:rsidR="00D91202">
        <w:rPr>
          <w:rFonts w:ascii="Verdana" w:hAnsi="Verdana"/>
        </w:rPr>
        <w:t xml:space="preserve"> In 2010, company has also executed a $1.1 billion debt offering at lower interest rate for long term corporate debt in history</w:t>
      </w:r>
      <w:r w:rsidR="000C7528">
        <w:rPr>
          <w:rFonts w:ascii="Verdana" w:hAnsi="Verdana"/>
        </w:rPr>
        <w:t xml:space="preserve"> (Source: Annual Report 2010)</w:t>
      </w:r>
      <w:r w:rsidR="00D91202">
        <w:rPr>
          <w:rFonts w:ascii="Verdana" w:hAnsi="Verdana"/>
        </w:rPr>
        <w:t>.</w:t>
      </w:r>
      <w:r w:rsidR="00CF60F6">
        <w:rPr>
          <w:rFonts w:ascii="Verdana" w:hAnsi="Verdana"/>
        </w:rPr>
        <w:t xml:space="preserve"> All these </w:t>
      </w:r>
      <w:r w:rsidR="00657A3D">
        <w:rPr>
          <w:rFonts w:ascii="Verdana" w:hAnsi="Verdana"/>
        </w:rPr>
        <w:t>would gain confidence on investors mind to remains safe in investing in this stock</w:t>
      </w:r>
      <w:r w:rsidR="00712936">
        <w:rPr>
          <w:rFonts w:ascii="Verdana" w:hAnsi="Verdana"/>
        </w:rPr>
        <w:t>. Apart from that we expect lower interest rate in its debt due to AAA credit rating would enhance the profitability of the company in coming years, thus generating good return for its share holders.</w:t>
      </w:r>
    </w:p>
    <w:p w:rsidR="003C1C05" w:rsidRPr="003C1C05" w:rsidRDefault="003C1C05" w:rsidP="00A166F7">
      <w:pPr>
        <w:spacing w:line="480" w:lineRule="auto"/>
        <w:jc w:val="both"/>
        <w:rPr>
          <w:rFonts w:ascii="Verdana" w:hAnsi="Verdana"/>
          <w:b/>
          <w:u w:val="single"/>
        </w:rPr>
      </w:pPr>
      <w:r w:rsidRPr="003C1C05">
        <w:rPr>
          <w:rFonts w:ascii="Verdana" w:hAnsi="Verdana"/>
          <w:b/>
          <w:u w:val="single"/>
        </w:rPr>
        <w:t>Cash flow from operation in last 3 years</w:t>
      </w:r>
    </w:p>
    <w:p w:rsidR="003C1C05" w:rsidRDefault="00790288" w:rsidP="00A166F7">
      <w:pPr>
        <w:spacing w:line="480" w:lineRule="auto"/>
        <w:jc w:val="both"/>
        <w:rPr>
          <w:rFonts w:ascii="Verdana" w:hAnsi="Verdana"/>
          <w:sz w:val="20"/>
          <w:szCs w:val="20"/>
        </w:rPr>
      </w:pPr>
      <w:r>
        <w:rPr>
          <w:rFonts w:ascii="Verdana" w:hAnsi="Verdana"/>
          <w:noProof/>
          <w:lang w:val="en-IN" w:eastAsia="en-IN"/>
        </w:rPr>
        <w:drawing>
          <wp:inline distT="0" distB="0" distL="0" distR="0">
            <wp:extent cx="6086475" cy="36099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C1C05" w:rsidRPr="003C1C05">
        <w:rPr>
          <w:rFonts w:ascii="Verdana" w:hAnsi="Verdana"/>
          <w:sz w:val="20"/>
          <w:szCs w:val="20"/>
        </w:rPr>
        <w:t xml:space="preserve"> </w:t>
      </w:r>
      <w:r w:rsidR="003C1C05" w:rsidRPr="00763AEC">
        <w:rPr>
          <w:rFonts w:ascii="Verdana" w:hAnsi="Verdana"/>
          <w:sz w:val="20"/>
          <w:szCs w:val="20"/>
        </w:rPr>
        <w:t>Source: Company’</w:t>
      </w:r>
      <w:r w:rsidR="003C1C05">
        <w:rPr>
          <w:rFonts w:ascii="Verdana" w:hAnsi="Verdana"/>
          <w:sz w:val="20"/>
          <w:szCs w:val="20"/>
        </w:rPr>
        <w:t>s cash flow statement</w:t>
      </w:r>
    </w:p>
    <w:p w:rsidR="001D74C3" w:rsidRDefault="001D74C3" w:rsidP="00A166F7">
      <w:pPr>
        <w:spacing w:line="480" w:lineRule="auto"/>
        <w:jc w:val="both"/>
        <w:rPr>
          <w:rFonts w:ascii="Verdana" w:hAnsi="Verdana"/>
          <w:sz w:val="20"/>
          <w:szCs w:val="20"/>
        </w:rPr>
      </w:pPr>
    </w:p>
    <w:p w:rsidR="00D709E0" w:rsidRDefault="00592A78" w:rsidP="00CD3BB7">
      <w:pPr>
        <w:spacing w:line="480" w:lineRule="auto"/>
        <w:jc w:val="both"/>
        <w:rPr>
          <w:rFonts w:ascii="Verdana" w:hAnsi="Verdana"/>
        </w:rPr>
      </w:pPr>
      <w:r>
        <w:rPr>
          <w:rFonts w:ascii="Verdana" w:hAnsi="Verdana"/>
        </w:rPr>
        <w:lastRenderedPageBreak/>
        <w:t>Company has invested nearly $7 billion in its research and development</w:t>
      </w:r>
      <w:r w:rsidR="000C7528">
        <w:rPr>
          <w:rFonts w:ascii="Verdana" w:hAnsi="Verdana"/>
        </w:rPr>
        <w:t xml:space="preserve"> (Source: Annual Report 2010)</w:t>
      </w:r>
      <w:r>
        <w:rPr>
          <w:rFonts w:ascii="Verdana" w:hAnsi="Verdana"/>
        </w:rPr>
        <w:t xml:space="preserve"> to advance its newest technologies and pipeline compounds. Company has leading product pipeline under its arsenal. Some of its leading products are like </w:t>
      </w:r>
      <w:proofErr w:type="spellStart"/>
      <w:r>
        <w:rPr>
          <w:rFonts w:ascii="Verdana" w:hAnsi="Verdana"/>
        </w:rPr>
        <w:t>Rivaroxaban</w:t>
      </w:r>
      <w:proofErr w:type="spellEnd"/>
      <w:r>
        <w:rPr>
          <w:rFonts w:ascii="Verdana" w:hAnsi="Verdana"/>
        </w:rPr>
        <w:t xml:space="preserve"> which has already filed in US for the prevention of stroke in patients with atrial </w:t>
      </w:r>
      <w:r w:rsidR="00D709E0">
        <w:rPr>
          <w:rFonts w:ascii="Verdana" w:hAnsi="Verdana"/>
        </w:rPr>
        <w:t xml:space="preserve">fibrillation. Few other positive developments in the company include: </w:t>
      </w:r>
    </w:p>
    <w:p w:rsidR="00D709E0" w:rsidRPr="00DE385E" w:rsidRDefault="00592A78" w:rsidP="00D709E0">
      <w:pPr>
        <w:pStyle w:val="ListParagraph"/>
        <w:numPr>
          <w:ilvl w:val="0"/>
          <w:numId w:val="1"/>
        </w:numPr>
        <w:spacing w:line="480" w:lineRule="auto"/>
        <w:jc w:val="both"/>
        <w:rPr>
          <w:rFonts w:ascii="Verdana" w:hAnsi="Verdana"/>
        </w:rPr>
      </w:pPr>
      <w:proofErr w:type="spellStart"/>
      <w:r w:rsidRPr="00DE385E">
        <w:rPr>
          <w:rFonts w:ascii="Verdana" w:hAnsi="Verdana"/>
        </w:rPr>
        <w:t>Abiraterone</w:t>
      </w:r>
      <w:proofErr w:type="spellEnd"/>
      <w:r w:rsidRPr="00DE385E">
        <w:rPr>
          <w:rFonts w:ascii="Verdana" w:hAnsi="Verdana"/>
        </w:rPr>
        <w:t xml:space="preserve"> acetate, an investigational compound for treatment of metastatic advanced prostate cancer was granted priority review in the U.S. and accepted for accelerated assessment in Europe. </w:t>
      </w:r>
    </w:p>
    <w:p w:rsidR="00D709E0" w:rsidRPr="00DE385E" w:rsidRDefault="00592A78" w:rsidP="00D709E0">
      <w:pPr>
        <w:pStyle w:val="ListParagraph"/>
        <w:numPr>
          <w:ilvl w:val="0"/>
          <w:numId w:val="1"/>
        </w:numPr>
        <w:spacing w:line="480" w:lineRule="auto"/>
        <w:jc w:val="both"/>
        <w:rPr>
          <w:rFonts w:ascii="Verdana" w:hAnsi="Verdana"/>
        </w:rPr>
      </w:pPr>
      <w:proofErr w:type="spellStart"/>
      <w:r w:rsidRPr="00DE385E">
        <w:rPr>
          <w:rFonts w:ascii="Verdana" w:hAnsi="Verdana"/>
        </w:rPr>
        <w:t>Telaprevir</w:t>
      </w:r>
      <w:proofErr w:type="spellEnd"/>
      <w:r w:rsidRPr="00DE385E">
        <w:rPr>
          <w:rFonts w:ascii="Verdana" w:hAnsi="Verdana"/>
        </w:rPr>
        <w:t>, for hepatitis C, an undertreated global infectious disease, has also been accepted for accelerated assessment in Europe.</w:t>
      </w:r>
      <w:r w:rsidR="00CD3BB7" w:rsidRPr="00DE385E">
        <w:rPr>
          <w:rFonts w:ascii="Verdana" w:hAnsi="Verdana"/>
        </w:rPr>
        <w:t xml:space="preserve"> </w:t>
      </w:r>
    </w:p>
    <w:p w:rsidR="00D709E0" w:rsidRPr="00DE385E" w:rsidRDefault="00CD3BB7" w:rsidP="00D709E0">
      <w:pPr>
        <w:pStyle w:val="ListParagraph"/>
        <w:numPr>
          <w:ilvl w:val="0"/>
          <w:numId w:val="1"/>
        </w:numPr>
        <w:spacing w:line="480" w:lineRule="auto"/>
        <w:jc w:val="both"/>
        <w:rPr>
          <w:rFonts w:ascii="Verdana" w:hAnsi="Verdana"/>
        </w:rPr>
      </w:pPr>
      <w:r w:rsidRPr="00DE385E">
        <w:rPr>
          <w:rFonts w:ascii="Verdana" w:hAnsi="Verdana"/>
        </w:rPr>
        <w:t xml:space="preserve">Revolutionary hemostasis </w:t>
      </w:r>
      <w:proofErr w:type="gramStart"/>
      <w:r w:rsidRPr="00DE385E">
        <w:rPr>
          <w:rFonts w:ascii="Verdana" w:hAnsi="Verdana"/>
        </w:rPr>
        <w:t xml:space="preserve">product </w:t>
      </w:r>
      <w:r w:rsidR="00AD1C11" w:rsidRPr="00DE385E">
        <w:rPr>
          <w:rFonts w:ascii="Verdana" w:hAnsi="Verdana"/>
        </w:rPr>
        <w:t xml:space="preserve"> -</w:t>
      </w:r>
      <w:proofErr w:type="gramEnd"/>
      <w:r w:rsidR="00AD1C11" w:rsidRPr="00DE385E">
        <w:rPr>
          <w:rFonts w:ascii="Verdana" w:hAnsi="Verdana"/>
        </w:rPr>
        <w:t xml:space="preserve"> </w:t>
      </w:r>
      <w:r w:rsidRPr="00DE385E">
        <w:rPr>
          <w:rFonts w:ascii="Verdana" w:hAnsi="Verdana"/>
        </w:rPr>
        <w:t xml:space="preserve">that combines two biomaterials and two biologics to stop bleeding during surgical </w:t>
      </w:r>
      <w:r w:rsidR="007A5E6A" w:rsidRPr="00DE385E">
        <w:rPr>
          <w:rFonts w:ascii="Verdana" w:hAnsi="Verdana"/>
        </w:rPr>
        <w:t>procedures</w:t>
      </w:r>
      <w:r w:rsidRPr="00DE385E">
        <w:rPr>
          <w:rFonts w:ascii="Verdana" w:hAnsi="Verdana"/>
        </w:rPr>
        <w:t xml:space="preserve"> </w:t>
      </w:r>
      <w:r w:rsidR="00AD1C11" w:rsidRPr="00DE385E">
        <w:rPr>
          <w:rFonts w:ascii="Verdana" w:hAnsi="Verdana"/>
        </w:rPr>
        <w:t xml:space="preserve">- </w:t>
      </w:r>
      <w:r w:rsidRPr="00DE385E">
        <w:rPr>
          <w:rFonts w:ascii="Verdana" w:hAnsi="Verdana"/>
        </w:rPr>
        <w:t>was filed for regulatory approval with the FDA.</w:t>
      </w:r>
      <w:r w:rsidR="007A5E6A" w:rsidRPr="00DE385E">
        <w:rPr>
          <w:rFonts w:ascii="Verdana" w:hAnsi="Verdana"/>
        </w:rPr>
        <w:t xml:space="preserve"> </w:t>
      </w:r>
    </w:p>
    <w:p w:rsidR="001D74C3" w:rsidRPr="00D709E0" w:rsidRDefault="00D709E0" w:rsidP="00D709E0">
      <w:pPr>
        <w:spacing w:line="480" w:lineRule="auto"/>
        <w:jc w:val="both"/>
        <w:rPr>
          <w:rFonts w:ascii="Verdana" w:hAnsi="Verdana"/>
        </w:rPr>
      </w:pPr>
      <w:r w:rsidRPr="00D709E0">
        <w:rPr>
          <w:rFonts w:ascii="Verdana" w:hAnsi="Verdana"/>
        </w:rPr>
        <w:t xml:space="preserve">Such kind of product innovations should </w:t>
      </w:r>
      <w:r w:rsidR="007A5E6A" w:rsidRPr="00D709E0">
        <w:rPr>
          <w:rFonts w:ascii="Verdana" w:hAnsi="Verdana"/>
        </w:rPr>
        <w:t>strengthen company’s revenue visibility in future.</w:t>
      </w:r>
    </w:p>
    <w:p w:rsidR="005E0CFA" w:rsidRPr="00DE385E" w:rsidRDefault="008B2B4E" w:rsidP="00CD3BB7">
      <w:pPr>
        <w:spacing w:line="480" w:lineRule="auto"/>
        <w:jc w:val="both"/>
        <w:rPr>
          <w:rFonts w:ascii="Verdana" w:hAnsi="Verdana"/>
        </w:rPr>
      </w:pPr>
      <w:r w:rsidRPr="00DE385E">
        <w:rPr>
          <w:rFonts w:ascii="Verdana" w:hAnsi="Verdana"/>
        </w:rPr>
        <w:t xml:space="preserve">Not just this, the company has regularly </w:t>
      </w:r>
      <w:proofErr w:type="gramStart"/>
      <w:r w:rsidR="007A40CC" w:rsidRPr="00DE385E">
        <w:rPr>
          <w:rFonts w:ascii="Verdana" w:hAnsi="Verdana"/>
        </w:rPr>
        <w:t>strengthen</w:t>
      </w:r>
      <w:proofErr w:type="gramEnd"/>
      <w:r w:rsidR="007A40CC" w:rsidRPr="00DE385E">
        <w:rPr>
          <w:rFonts w:ascii="Verdana" w:hAnsi="Verdana"/>
        </w:rPr>
        <w:t xml:space="preserve"> its marketing and distribution segment </w:t>
      </w:r>
      <w:r w:rsidRPr="00DE385E">
        <w:rPr>
          <w:rFonts w:ascii="Verdana" w:hAnsi="Verdana"/>
        </w:rPr>
        <w:t xml:space="preserve">through </w:t>
      </w:r>
      <w:r w:rsidR="007A40CC" w:rsidRPr="00DE385E">
        <w:rPr>
          <w:rFonts w:ascii="Verdana" w:hAnsi="Verdana"/>
        </w:rPr>
        <w:t xml:space="preserve">licensing </w:t>
      </w:r>
      <w:r w:rsidRPr="00DE385E">
        <w:rPr>
          <w:rFonts w:ascii="Verdana" w:hAnsi="Verdana"/>
        </w:rPr>
        <w:t xml:space="preserve">partnerships </w:t>
      </w:r>
      <w:r w:rsidR="007A40CC" w:rsidRPr="00DE385E">
        <w:rPr>
          <w:rFonts w:ascii="Verdana" w:hAnsi="Verdana"/>
        </w:rPr>
        <w:t xml:space="preserve">and </w:t>
      </w:r>
      <w:r w:rsidR="00BB581D" w:rsidRPr="00DE385E">
        <w:rPr>
          <w:rFonts w:ascii="Verdana" w:hAnsi="Verdana"/>
        </w:rPr>
        <w:t>target acquisitions</w:t>
      </w:r>
      <w:r w:rsidR="007A40CC" w:rsidRPr="00DE385E">
        <w:rPr>
          <w:rFonts w:ascii="Verdana" w:hAnsi="Verdana"/>
        </w:rPr>
        <w:t>.</w:t>
      </w:r>
      <w:r w:rsidR="00BB581D" w:rsidRPr="00DE385E">
        <w:rPr>
          <w:rFonts w:ascii="Verdana" w:hAnsi="Verdana"/>
        </w:rPr>
        <w:t xml:space="preserve"> </w:t>
      </w:r>
      <w:r w:rsidRPr="00DE385E">
        <w:rPr>
          <w:rFonts w:ascii="Verdana" w:hAnsi="Verdana"/>
        </w:rPr>
        <w:t xml:space="preserve">It </w:t>
      </w:r>
      <w:r w:rsidR="00BB581D" w:rsidRPr="00DE385E">
        <w:rPr>
          <w:rFonts w:ascii="Verdana" w:hAnsi="Verdana"/>
        </w:rPr>
        <w:t xml:space="preserve">acquired </w:t>
      </w:r>
      <w:proofErr w:type="spellStart"/>
      <w:r w:rsidR="00BB581D" w:rsidRPr="00DE385E">
        <w:rPr>
          <w:rFonts w:ascii="Verdana" w:hAnsi="Verdana"/>
        </w:rPr>
        <w:t>Micrus</w:t>
      </w:r>
      <w:proofErr w:type="spellEnd"/>
      <w:r w:rsidR="00BB581D" w:rsidRPr="00DE385E">
        <w:rPr>
          <w:rFonts w:ascii="Verdana" w:hAnsi="Verdana"/>
        </w:rPr>
        <w:t xml:space="preserve"> Endovascular, a global developer and manufacturer of minimally invasive devices for hemorrhagic and ischemic stroke.</w:t>
      </w:r>
      <w:r w:rsidR="001634BF" w:rsidRPr="00DE385E">
        <w:rPr>
          <w:rFonts w:ascii="Verdana" w:hAnsi="Verdana"/>
        </w:rPr>
        <w:t xml:space="preserve"> </w:t>
      </w:r>
      <w:r w:rsidRPr="00DE385E">
        <w:rPr>
          <w:rFonts w:ascii="Verdana" w:hAnsi="Verdana"/>
        </w:rPr>
        <w:t xml:space="preserve">On another move, it signed </w:t>
      </w:r>
      <w:r w:rsidR="001634BF" w:rsidRPr="00DE385E">
        <w:rPr>
          <w:rFonts w:ascii="Verdana" w:hAnsi="Verdana"/>
        </w:rPr>
        <w:t xml:space="preserve">an agreement with US regulators to reopen its application for the </w:t>
      </w:r>
      <w:proofErr w:type="spellStart"/>
      <w:r w:rsidR="001634BF" w:rsidRPr="00DE385E">
        <w:rPr>
          <w:rFonts w:ascii="Verdana" w:hAnsi="Verdana"/>
        </w:rPr>
        <w:t>Sedasys</w:t>
      </w:r>
      <w:proofErr w:type="spellEnd"/>
      <w:r w:rsidR="001634BF" w:rsidRPr="00DE385E">
        <w:rPr>
          <w:rFonts w:ascii="Verdana" w:hAnsi="Verdana"/>
        </w:rPr>
        <w:t xml:space="preserve"> sedation system for endoscopy patients. </w:t>
      </w:r>
      <w:r w:rsidRPr="00DE385E">
        <w:rPr>
          <w:rFonts w:ascii="Verdana" w:hAnsi="Verdana"/>
        </w:rPr>
        <w:t xml:space="preserve">In another step, J&amp;J </w:t>
      </w:r>
      <w:r w:rsidR="001634BF" w:rsidRPr="00DE385E">
        <w:rPr>
          <w:rFonts w:ascii="Verdana" w:hAnsi="Verdana"/>
        </w:rPr>
        <w:t xml:space="preserve">accompanied with Bristol-Myers Squibb </w:t>
      </w:r>
      <w:r w:rsidRPr="00DE385E">
        <w:rPr>
          <w:rFonts w:ascii="Verdana" w:hAnsi="Verdana"/>
        </w:rPr>
        <w:t>C</w:t>
      </w:r>
      <w:r w:rsidR="001634BF" w:rsidRPr="00DE385E">
        <w:rPr>
          <w:rFonts w:ascii="Verdana" w:hAnsi="Verdana"/>
        </w:rPr>
        <w:t>o</w:t>
      </w:r>
      <w:r w:rsidRPr="00DE385E">
        <w:rPr>
          <w:rFonts w:ascii="Verdana" w:hAnsi="Verdana"/>
        </w:rPr>
        <w:t>,</w:t>
      </w:r>
      <w:r w:rsidR="001634BF" w:rsidRPr="00DE385E">
        <w:rPr>
          <w:rFonts w:ascii="Verdana" w:hAnsi="Verdana"/>
        </w:rPr>
        <w:t xml:space="preserve"> undertook to develop experimental treatments for hepatitis C. </w:t>
      </w:r>
    </w:p>
    <w:p w:rsidR="00466D6D" w:rsidRDefault="005E0CFA" w:rsidP="00CD3BB7">
      <w:pPr>
        <w:spacing w:line="480" w:lineRule="auto"/>
        <w:jc w:val="both"/>
        <w:rPr>
          <w:rFonts w:ascii="Verdana" w:hAnsi="Verdana"/>
        </w:rPr>
      </w:pPr>
      <w:r w:rsidRPr="00E158B0">
        <w:rPr>
          <w:rFonts w:ascii="Verdana" w:hAnsi="Verdana"/>
        </w:rPr>
        <w:lastRenderedPageBreak/>
        <w:t xml:space="preserve">In Sep 2011, J&amp;J purchased the other half of its rights </w:t>
      </w:r>
      <w:r w:rsidR="001634BF" w:rsidRPr="00E158B0">
        <w:rPr>
          <w:rFonts w:ascii="Verdana" w:hAnsi="Verdana"/>
        </w:rPr>
        <w:t xml:space="preserve">in North America to </w:t>
      </w:r>
      <w:r w:rsidRPr="00E158B0">
        <w:rPr>
          <w:rFonts w:ascii="Verdana" w:hAnsi="Verdana"/>
        </w:rPr>
        <w:t>OTC</w:t>
      </w:r>
      <w:r w:rsidR="001634BF" w:rsidRPr="00E158B0">
        <w:rPr>
          <w:rFonts w:ascii="Verdana" w:hAnsi="Verdana"/>
        </w:rPr>
        <w:t xml:space="preserve"> heartburn drugs Pepcid and Mylanta which </w:t>
      </w:r>
      <w:r w:rsidRPr="00E158B0">
        <w:rPr>
          <w:rFonts w:ascii="Verdana" w:hAnsi="Verdana"/>
        </w:rPr>
        <w:t xml:space="preserve">was half held by Merck &amp; </w:t>
      </w:r>
      <w:proofErr w:type="gramStart"/>
      <w:r w:rsidRPr="00E158B0">
        <w:rPr>
          <w:rFonts w:ascii="Verdana" w:hAnsi="Verdana"/>
        </w:rPr>
        <w:t>Co..</w:t>
      </w:r>
      <w:proofErr w:type="gramEnd"/>
      <w:r w:rsidRPr="00E158B0">
        <w:rPr>
          <w:rFonts w:ascii="Verdana" w:hAnsi="Verdana"/>
        </w:rPr>
        <w:t xml:space="preserve"> </w:t>
      </w:r>
      <w:r w:rsidR="0034358B" w:rsidRPr="00E158B0">
        <w:rPr>
          <w:rFonts w:ascii="Verdana" w:hAnsi="Verdana"/>
        </w:rPr>
        <w:t xml:space="preserve">The deal was done at $175 million. </w:t>
      </w:r>
      <w:r w:rsidR="003E4313" w:rsidRPr="00E158B0">
        <w:rPr>
          <w:rFonts w:ascii="Verdana" w:hAnsi="Verdana"/>
        </w:rPr>
        <w:t xml:space="preserve">This also gives </w:t>
      </w:r>
      <w:r w:rsidR="001634BF" w:rsidRPr="00E158B0">
        <w:rPr>
          <w:rFonts w:ascii="Verdana" w:hAnsi="Verdana"/>
        </w:rPr>
        <w:t xml:space="preserve">J&amp;J </w:t>
      </w:r>
      <w:r w:rsidR="003E4313" w:rsidRPr="00E158B0">
        <w:rPr>
          <w:rFonts w:ascii="Verdana" w:hAnsi="Verdana"/>
        </w:rPr>
        <w:t xml:space="preserve">complete </w:t>
      </w:r>
      <w:r w:rsidR="001634BF" w:rsidRPr="00E158B0">
        <w:rPr>
          <w:rFonts w:ascii="Verdana" w:hAnsi="Verdana"/>
        </w:rPr>
        <w:t>ownership of the joint venture's manufacturing plant in Lancaster, Pennsylvania, where Mylanta and Pepcid are manufactured.</w:t>
      </w:r>
      <w:r w:rsidR="00BB581D" w:rsidRPr="00E158B0">
        <w:rPr>
          <w:rFonts w:ascii="Verdana" w:hAnsi="Verdana"/>
        </w:rPr>
        <w:t xml:space="preserve"> </w:t>
      </w:r>
    </w:p>
    <w:p w:rsidR="007A5E6A" w:rsidRPr="005E6621" w:rsidRDefault="00BB581D" w:rsidP="00CD3BB7">
      <w:pPr>
        <w:spacing w:line="480" w:lineRule="auto"/>
        <w:jc w:val="both"/>
        <w:rPr>
          <w:rFonts w:ascii="Verdana" w:hAnsi="Verdana"/>
        </w:rPr>
      </w:pPr>
      <w:r w:rsidRPr="005E6621">
        <w:rPr>
          <w:rFonts w:ascii="Verdana" w:hAnsi="Verdana"/>
        </w:rPr>
        <w:t>Apart from these</w:t>
      </w:r>
      <w:r w:rsidR="001634BF" w:rsidRPr="005E6621">
        <w:rPr>
          <w:rFonts w:ascii="Verdana" w:hAnsi="Verdana"/>
        </w:rPr>
        <w:t xml:space="preserve"> developments</w:t>
      </w:r>
      <w:r w:rsidRPr="005E6621">
        <w:rPr>
          <w:rFonts w:ascii="Verdana" w:hAnsi="Verdana"/>
        </w:rPr>
        <w:t xml:space="preserve"> company also under took strategic acquisition to increase its overall presence across the globe and generate demand for its products. These would augment the topline of the company in coming years which would further boost return of shareholders in future.</w:t>
      </w:r>
    </w:p>
    <w:p w:rsidR="00CE10B3" w:rsidRPr="00CE10B3" w:rsidRDefault="00CE10B3" w:rsidP="00CD3BB7">
      <w:pPr>
        <w:spacing w:line="480" w:lineRule="auto"/>
        <w:jc w:val="both"/>
        <w:rPr>
          <w:rFonts w:ascii="Verdana" w:hAnsi="Verdana"/>
          <w:b/>
          <w:sz w:val="24"/>
          <w:szCs w:val="24"/>
          <w:u w:val="single"/>
        </w:rPr>
      </w:pPr>
      <w:r w:rsidRPr="00CE10B3">
        <w:rPr>
          <w:rFonts w:ascii="Verdana" w:hAnsi="Verdana"/>
          <w:b/>
          <w:sz w:val="24"/>
          <w:szCs w:val="24"/>
          <w:u w:val="single"/>
        </w:rPr>
        <w:t>Valuation</w:t>
      </w:r>
    </w:p>
    <w:p w:rsidR="000717BB" w:rsidRDefault="00546B3E" w:rsidP="00CD3BB7">
      <w:pPr>
        <w:spacing w:line="480" w:lineRule="auto"/>
        <w:jc w:val="both"/>
        <w:rPr>
          <w:rFonts w:ascii="Verdana" w:hAnsi="Verdana"/>
        </w:rPr>
      </w:pPr>
      <w:r w:rsidRPr="000B063A">
        <w:rPr>
          <w:rFonts w:ascii="Verdana" w:hAnsi="Verdana"/>
        </w:rPr>
        <w:t>E</w:t>
      </w:r>
      <w:r w:rsidR="00734CD6" w:rsidRPr="000B063A">
        <w:rPr>
          <w:rFonts w:ascii="Verdana" w:hAnsi="Verdana"/>
        </w:rPr>
        <w:t xml:space="preserve">xperts downgrade world economic growth in 2012 and peg that it would grow </w:t>
      </w:r>
      <w:r w:rsidR="008206C0" w:rsidRPr="000B063A">
        <w:rPr>
          <w:rFonts w:ascii="Verdana" w:hAnsi="Verdana"/>
        </w:rPr>
        <w:t>2.6</w:t>
      </w:r>
      <w:r w:rsidR="00734CD6" w:rsidRPr="000B063A">
        <w:rPr>
          <w:rFonts w:ascii="Verdana" w:hAnsi="Verdana"/>
        </w:rPr>
        <w:t xml:space="preserve">% in 2012, </w:t>
      </w:r>
      <w:proofErr w:type="spellStart"/>
      <w:r w:rsidR="00734CD6" w:rsidRPr="000B063A">
        <w:rPr>
          <w:rFonts w:ascii="Verdana" w:hAnsi="Verdana"/>
        </w:rPr>
        <w:t>where as</w:t>
      </w:r>
      <w:proofErr w:type="spellEnd"/>
      <w:r w:rsidR="00734CD6" w:rsidRPr="000B063A">
        <w:rPr>
          <w:rFonts w:ascii="Verdana" w:hAnsi="Verdana"/>
        </w:rPr>
        <w:t xml:space="preserve"> US, the strongest economy in the world would grow 2.5% in 2012</w:t>
      </w:r>
      <w:r w:rsidR="00466D6D">
        <w:rPr>
          <w:rFonts w:ascii="Verdana" w:hAnsi="Verdana"/>
        </w:rPr>
        <w:t>.</w:t>
      </w:r>
      <w:r w:rsidR="00A75421" w:rsidRPr="000B063A">
        <w:rPr>
          <w:rFonts w:ascii="Verdana" w:hAnsi="Verdana"/>
        </w:rPr>
        <w:t xml:space="preserve"> </w:t>
      </w:r>
      <w:r w:rsidR="00734CD6">
        <w:rPr>
          <w:rFonts w:ascii="Verdana" w:hAnsi="Verdana"/>
        </w:rPr>
        <w:t xml:space="preserve">Further US </w:t>
      </w:r>
      <w:r w:rsidR="00C67A33">
        <w:rPr>
          <w:rFonts w:ascii="Verdana" w:hAnsi="Verdana"/>
        </w:rPr>
        <w:t>initiative</w:t>
      </w:r>
      <w:r w:rsidR="00734CD6">
        <w:rPr>
          <w:rFonts w:ascii="Verdana" w:hAnsi="Verdana"/>
        </w:rPr>
        <w:t xml:space="preserve"> to cut health care expenses for austerity measures would impact demand for company’s product. We forecast that company revenue would grow 2% in 2011 and 2012 aligning with overall growth US.</w:t>
      </w:r>
      <w:r w:rsidR="00E01090">
        <w:rPr>
          <w:rFonts w:ascii="Verdana" w:hAnsi="Verdana"/>
        </w:rPr>
        <w:t xml:space="preserve"> We believe that company would be able to control its operating expenses as it did in 2010 and it would remain 73% of net sales. In 2012, we </w:t>
      </w:r>
      <w:r w:rsidR="004F3D36">
        <w:rPr>
          <w:rFonts w:ascii="Verdana" w:hAnsi="Verdana"/>
        </w:rPr>
        <w:t>believe</w:t>
      </w:r>
      <w:r w:rsidR="00E01090">
        <w:rPr>
          <w:rFonts w:ascii="Verdana" w:hAnsi="Verdana"/>
        </w:rPr>
        <w:t xml:space="preserve"> company would be able to maintain its net profit margin</w:t>
      </w:r>
      <w:r w:rsidR="004F3D36">
        <w:rPr>
          <w:rFonts w:ascii="Verdana" w:hAnsi="Verdana"/>
        </w:rPr>
        <w:t xml:space="preserve"> at 21.6%</w:t>
      </w:r>
      <w:r w:rsidR="00E01090">
        <w:rPr>
          <w:rFonts w:ascii="Verdana" w:hAnsi="Verdana"/>
        </w:rPr>
        <w:t xml:space="preserve"> due to low interest costs</w:t>
      </w:r>
      <w:r w:rsidR="004F3D36">
        <w:rPr>
          <w:rFonts w:ascii="Verdana" w:hAnsi="Verdana"/>
        </w:rPr>
        <w:t xml:space="preserve"> which would enhance its net profitability to </w:t>
      </w:r>
      <w:r w:rsidR="00E01090">
        <w:rPr>
          <w:rFonts w:ascii="Verdana" w:hAnsi="Verdana"/>
        </w:rPr>
        <w:t>$ 13,87</w:t>
      </w:r>
      <w:r w:rsidR="004F3D36">
        <w:rPr>
          <w:rFonts w:ascii="Verdana" w:hAnsi="Verdana"/>
        </w:rPr>
        <w:t>2 million in 2012. We assume that there would be no further equity dilution and number of equity shares would remain same and diluted earning per share would be $4.97 in 2012.</w:t>
      </w:r>
    </w:p>
    <w:p w:rsidR="004F68CE" w:rsidRDefault="007C2D13" w:rsidP="00CD3BB7">
      <w:pPr>
        <w:spacing w:line="480" w:lineRule="auto"/>
        <w:jc w:val="both"/>
        <w:rPr>
          <w:rFonts w:ascii="Verdana" w:hAnsi="Verdana"/>
        </w:rPr>
      </w:pPr>
      <w:r>
        <w:rPr>
          <w:rFonts w:ascii="Verdana" w:hAnsi="Verdana"/>
        </w:rPr>
        <w:t>Company is currently trading at Price/earning multiple of 13.</w:t>
      </w:r>
      <w:r w:rsidR="0065203A">
        <w:rPr>
          <w:rFonts w:ascii="Verdana" w:hAnsi="Verdana"/>
        </w:rPr>
        <w:t>48</w:t>
      </w:r>
      <w:r>
        <w:rPr>
          <w:rFonts w:ascii="Verdana" w:hAnsi="Verdana"/>
        </w:rPr>
        <w:t xml:space="preserve">x on its 12 </w:t>
      </w:r>
      <w:r w:rsidR="0065203A">
        <w:rPr>
          <w:rFonts w:ascii="Verdana" w:hAnsi="Verdana"/>
        </w:rPr>
        <w:t>month trailing diluted EPS of $</w:t>
      </w:r>
      <w:r>
        <w:rPr>
          <w:rFonts w:ascii="Verdana" w:hAnsi="Verdana"/>
        </w:rPr>
        <w:t>4.78. We have valued the stock on it</w:t>
      </w:r>
      <w:r w:rsidR="00F476A8">
        <w:rPr>
          <w:rFonts w:ascii="Verdana" w:hAnsi="Verdana"/>
        </w:rPr>
        <w:t>’</w:t>
      </w:r>
      <w:r>
        <w:rPr>
          <w:rFonts w:ascii="Verdana" w:hAnsi="Verdana"/>
        </w:rPr>
        <w:t xml:space="preserve">s Price/earning </w:t>
      </w:r>
      <w:r>
        <w:rPr>
          <w:rFonts w:ascii="Verdana" w:hAnsi="Verdana"/>
        </w:rPr>
        <w:lastRenderedPageBreak/>
        <w:t>multiple and</w:t>
      </w:r>
      <w:r w:rsidR="006F4FCE">
        <w:rPr>
          <w:rFonts w:ascii="Verdana" w:hAnsi="Verdana"/>
        </w:rPr>
        <w:t xml:space="preserve"> conservatively</w:t>
      </w:r>
      <w:r>
        <w:rPr>
          <w:rFonts w:ascii="Verdana" w:hAnsi="Verdana"/>
        </w:rPr>
        <w:t xml:space="preserve"> assign</w:t>
      </w:r>
      <w:r w:rsidR="00F476A8">
        <w:rPr>
          <w:rFonts w:ascii="Verdana" w:hAnsi="Verdana"/>
        </w:rPr>
        <w:t>ed</w:t>
      </w:r>
      <w:r>
        <w:rPr>
          <w:rFonts w:ascii="Verdana" w:hAnsi="Verdana"/>
        </w:rPr>
        <w:t xml:space="preserve"> </w:t>
      </w:r>
      <w:r w:rsidR="0065203A">
        <w:rPr>
          <w:rFonts w:ascii="Verdana" w:hAnsi="Verdana"/>
        </w:rPr>
        <w:t xml:space="preserve">the same </w:t>
      </w:r>
      <w:r>
        <w:rPr>
          <w:rFonts w:ascii="Verdana" w:hAnsi="Verdana"/>
        </w:rPr>
        <w:t>Price/earning multiple of 13</w:t>
      </w:r>
      <w:r w:rsidR="0065203A">
        <w:rPr>
          <w:rFonts w:ascii="Verdana" w:hAnsi="Verdana"/>
        </w:rPr>
        <w:t>.48</w:t>
      </w:r>
      <w:r>
        <w:rPr>
          <w:rFonts w:ascii="Verdana" w:hAnsi="Verdana"/>
        </w:rPr>
        <w:t xml:space="preserve">x on its 2012 diluted earning per share </w:t>
      </w:r>
      <w:r w:rsidR="0065203A">
        <w:rPr>
          <w:rFonts w:ascii="Verdana" w:hAnsi="Verdana"/>
        </w:rPr>
        <w:t>and derive a target price of $67.0</w:t>
      </w:r>
      <w:r>
        <w:rPr>
          <w:rFonts w:ascii="Verdana" w:hAnsi="Verdana"/>
        </w:rPr>
        <w:t xml:space="preserve">7. </w:t>
      </w:r>
      <w:r w:rsidR="00BC352F">
        <w:rPr>
          <w:rFonts w:ascii="Verdana" w:hAnsi="Verdana"/>
        </w:rPr>
        <w:t>Analyzing</w:t>
      </w:r>
      <w:r w:rsidR="00575978">
        <w:rPr>
          <w:rFonts w:ascii="Verdana" w:hAnsi="Verdana"/>
        </w:rPr>
        <w:t xml:space="preserve"> uncertain global economic factors we conservatively valued</w:t>
      </w:r>
      <w:r w:rsidR="00BC352F">
        <w:rPr>
          <w:rFonts w:ascii="Verdana" w:hAnsi="Verdana"/>
        </w:rPr>
        <w:t xml:space="preserve"> the</w:t>
      </w:r>
      <w:r w:rsidR="00575978">
        <w:rPr>
          <w:rFonts w:ascii="Verdana" w:hAnsi="Verdana"/>
        </w:rPr>
        <w:t xml:space="preserve"> stock </w:t>
      </w:r>
      <w:r w:rsidR="0065203A">
        <w:rPr>
          <w:rFonts w:ascii="Verdana" w:hAnsi="Verdana"/>
        </w:rPr>
        <w:t>with target price of $67.0</w:t>
      </w:r>
      <w:r w:rsidR="00BC352F">
        <w:rPr>
          <w:rFonts w:ascii="Verdana" w:hAnsi="Verdana"/>
        </w:rPr>
        <w:t>7</w:t>
      </w:r>
      <w:r w:rsidR="006A1233">
        <w:rPr>
          <w:rFonts w:ascii="Verdana" w:hAnsi="Verdana"/>
        </w:rPr>
        <w:t xml:space="preserve">, implying an upside return of </w:t>
      </w:r>
      <w:r w:rsidR="0065203A">
        <w:rPr>
          <w:rFonts w:ascii="Verdana" w:hAnsi="Verdana"/>
        </w:rPr>
        <w:t>4.1</w:t>
      </w:r>
      <w:r w:rsidR="006A1233">
        <w:rPr>
          <w:rFonts w:ascii="Verdana" w:hAnsi="Verdana"/>
        </w:rPr>
        <w:t xml:space="preserve">% from current level. So we recommend </w:t>
      </w:r>
      <w:proofErr w:type="gramStart"/>
      <w:r w:rsidR="006A1233">
        <w:rPr>
          <w:rFonts w:ascii="Verdana" w:hAnsi="Verdana"/>
        </w:rPr>
        <w:t>a</w:t>
      </w:r>
      <w:proofErr w:type="gramEnd"/>
      <w:r w:rsidR="006A1233">
        <w:rPr>
          <w:rFonts w:ascii="Verdana" w:hAnsi="Verdana"/>
        </w:rPr>
        <w:t xml:space="preserve"> “</w:t>
      </w:r>
      <w:r w:rsidR="00F476A8">
        <w:rPr>
          <w:rFonts w:ascii="Verdana" w:hAnsi="Verdana"/>
        </w:rPr>
        <w:t xml:space="preserve">AVERAGE </w:t>
      </w:r>
      <w:r w:rsidR="006A1233">
        <w:rPr>
          <w:rFonts w:ascii="Verdana" w:hAnsi="Verdana"/>
        </w:rPr>
        <w:t>BUY” on this stock</w:t>
      </w:r>
      <w:r w:rsidR="00BC352F">
        <w:rPr>
          <w:rFonts w:ascii="Verdana" w:hAnsi="Verdana"/>
        </w:rPr>
        <w:t xml:space="preserve"> with</w:t>
      </w:r>
      <w:r w:rsidR="006A1233">
        <w:rPr>
          <w:rFonts w:ascii="Verdana" w:hAnsi="Verdana"/>
        </w:rPr>
        <w:t xml:space="preserve"> investment horizon of 1 year.</w:t>
      </w:r>
    </w:p>
    <w:p w:rsidR="00466D6D" w:rsidRDefault="00466D6D" w:rsidP="00CD3BB7">
      <w:pPr>
        <w:spacing w:line="480" w:lineRule="auto"/>
        <w:jc w:val="both"/>
        <w:rPr>
          <w:rFonts w:ascii="Verdana" w:hAnsi="Verdana"/>
        </w:rPr>
      </w:pPr>
    </w:p>
    <w:p w:rsidR="00466D6D" w:rsidRDefault="00466D6D" w:rsidP="00CD3BB7">
      <w:pPr>
        <w:spacing w:line="480" w:lineRule="auto"/>
        <w:jc w:val="both"/>
        <w:rPr>
          <w:rFonts w:ascii="Verdana" w:hAnsi="Verdana"/>
          <w:b/>
          <w:u w:val="single"/>
        </w:rPr>
      </w:pPr>
      <w:r w:rsidRPr="00466D6D">
        <w:rPr>
          <w:rFonts w:ascii="Verdana" w:hAnsi="Verdana"/>
          <w:b/>
          <w:u w:val="single"/>
        </w:rPr>
        <w:t>References:</w:t>
      </w:r>
    </w:p>
    <w:p w:rsidR="00466D6D" w:rsidRDefault="004C75E3" w:rsidP="00466D6D">
      <w:pPr>
        <w:pStyle w:val="ListParagraph"/>
        <w:numPr>
          <w:ilvl w:val="0"/>
          <w:numId w:val="2"/>
        </w:numPr>
        <w:spacing w:line="480" w:lineRule="auto"/>
        <w:jc w:val="both"/>
      </w:pPr>
      <w:hyperlink r:id="rId13" w:history="1">
        <w:r w:rsidR="00466D6D" w:rsidRPr="00466D6D">
          <w:rPr>
            <w:rStyle w:val="Hyperlink"/>
            <w:rFonts w:ascii="Verdana" w:hAnsi="Verdana"/>
          </w:rPr>
          <w:t>http://www.un.org/en/development/desa/policy/wesp/index.shtml</w:t>
        </w:r>
      </w:hyperlink>
    </w:p>
    <w:p w:rsidR="00466D6D" w:rsidRDefault="004C75E3" w:rsidP="00466D6D">
      <w:pPr>
        <w:pStyle w:val="ListParagraph"/>
        <w:numPr>
          <w:ilvl w:val="0"/>
          <w:numId w:val="2"/>
        </w:numPr>
        <w:spacing w:line="480" w:lineRule="auto"/>
        <w:jc w:val="both"/>
      </w:pPr>
      <w:hyperlink r:id="rId14" w:history="1">
        <w:r w:rsidR="00466D6D" w:rsidRPr="00466D6D">
          <w:rPr>
            <w:rStyle w:val="Hyperlink"/>
            <w:rFonts w:ascii="Verdana" w:hAnsi="Verdana"/>
          </w:rPr>
          <w:t>http://www.bloomberg.com/news/2011-11-02/fed-lowers-economic-growth-outlook-for-next-year-sees-8-6-unemployment.html</w:t>
        </w:r>
      </w:hyperlink>
    </w:p>
    <w:p w:rsidR="00466D6D" w:rsidRPr="00466D6D" w:rsidRDefault="004C75E3" w:rsidP="00466D6D">
      <w:pPr>
        <w:pStyle w:val="ListParagraph"/>
        <w:numPr>
          <w:ilvl w:val="0"/>
          <w:numId w:val="2"/>
        </w:numPr>
        <w:spacing w:line="480" w:lineRule="auto"/>
        <w:jc w:val="both"/>
        <w:rPr>
          <w:rFonts w:ascii="Verdana" w:hAnsi="Verdana"/>
          <w:b/>
          <w:u w:val="single"/>
        </w:rPr>
      </w:pPr>
      <w:hyperlink r:id="rId15" w:history="1">
        <w:r w:rsidR="00466D6D" w:rsidRPr="00466D6D">
          <w:rPr>
            <w:rStyle w:val="Hyperlink"/>
            <w:rFonts w:ascii="Verdana" w:hAnsi="Verdana"/>
          </w:rPr>
          <w:t>http://in.reuters.com/article/2011/09/28/us-merck-johnsonandjohnson-idINTRE78R67I20110928?type=companyNews</w:t>
        </w:r>
      </w:hyperlink>
    </w:p>
    <w:p w:rsidR="00466D6D" w:rsidRPr="00466D6D" w:rsidRDefault="00466D6D" w:rsidP="00466D6D">
      <w:pPr>
        <w:pStyle w:val="ListParagraph"/>
        <w:numPr>
          <w:ilvl w:val="0"/>
          <w:numId w:val="2"/>
        </w:numPr>
        <w:spacing w:line="480" w:lineRule="auto"/>
        <w:jc w:val="both"/>
        <w:rPr>
          <w:rFonts w:ascii="Verdana" w:hAnsi="Verdana"/>
        </w:rPr>
      </w:pPr>
      <w:r w:rsidRPr="00466D6D">
        <w:rPr>
          <w:rFonts w:ascii="Verdana" w:hAnsi="Verdana"/>
        </w:rPr>
        <w:t>Yahoo Finance</w:t>
      </w:r>
    </w:p>
    <w:sectPr w:rsidR="00466D6D" w:rsidRPr="00466D6D" w:rsidSect="0041701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E3" w:rsidRDefault="004C75E3" w:rsidP="00BE7F7A">
      <w:pPr>
        <w:spacing w:after="0" w:line="240" w:lineRule="auto"/>
      </w:pPr>
      <w:r>
        <w:separator/>
      </w:r>
    </w:p>
  </w:endnote>
  <w:endnote w:type="continuationSeparator" w:id="0">
    <w:p w:rsidR="004C75E3" w:rsidRDefault="004C75E3" w:rsidP="00BE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7A" w:rsidRDefault="00BE7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7A" w:rsidRDefault="00BE7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7A" w:rsidRDefault="00BE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E3" w:rsidRDefault="004C75E3" w:rsidP="00BE7F7A">
      <w:pPr>
        <w:spacing w:after="0" w:line="240" w:lineRule="auto"/>
      </w:pPr>
      <w:r>
        <w:separator/>
      </w:r>
    </w:p>
  </w:footnote>
  <w:footnote w:type="continuationSeparator" w:id="0">
    <w:p w:rsidR="004C75E3" w:rsidRDefault="004C75E3" w:rsidP="00BE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7A" w:rsidRDefault="00BE7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25563" o:spid="_x0000_s2051"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WWW.FINANCE-HELPDESK.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7A" w:rsidRDefault="00BE7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25564" o:spid="_x0000_s2052"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WWW.FINANCE-HELPDESK.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7A" w:rsidRDefault="00BE7F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25562" o:spid="_x0000_s2050"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WWW.FINANCE-HELPDESK.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2D4C"/>
    <w:multiLevelType w:val="hybridMultilevel"/>
    <w:tmpl w:val="E01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54CCA"/>
    <w:multiLevelType w:val="hybridMultilevel"/>
    <w:tmpl w:val="2B5E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229"/>
    <w:rsid w:val="000215FD"/>
    <w:rsid w:val="00024D43"/>
    <w:rsid w:val="00032AFD"/>
    <w:rsid w:val="00033572"/>
    <w:rsid w:val="00042982"/>
    <w:rsid w:val="0005109A"/>
    <w:rsid w:val="000717BB"/>
    <w:rsid w:val="000A3C17"/>
    <w:rsid w:val="000A3D53"/>
    <w:rsid w:val="000B063A"/>
    <w:rsid w:val="000B7F71"/>
    <w:rsid w:val="000C1FD6"/>
    <w:rsid w:val="000C7528"/>
    <w:rsid w:val="000E5229"/>
    <w:rsid w:val="000E6A72"/>
    <w:rsid w:val="00103D66"/>
    <w:rsid w:val="00130B7A"/>
    <w:rsid w:val="0014673E"/>
    <w:rsid w:val="001634BF"/>
    <w:rsid w:val="00167017"/>
    <w:rsid w:val="001A5B6D"/>
    <w:rsid w:val="001D4898"/>
    <w:rsid w:val="001D74C3"/>
    <w:rsid w:val="001E494C"/>
    <w:rsid w:val="001F6F4A"/>
    <w:rsid w:val="00223109"/>
    <w:rsid w:val="00235D5F"/>
    <w:rsid w:val="00237486"/>
    <w:rsid w:val="00251861"/>
    <w:rsid w:val="0029349C"/>
    <w:rsid w:val="002C795A"/>
    <w:rsid w:val="002E154C"/>
    <w:rsid w:val="002F751A"/>
    <w:rsid w:val="00311752"/>
    <w:rsid w:val="00340FEA"/>
    <w:rsid w:val="0034353F"/>
    <w:rsid w:val="0034358B"/>
    <w:rsid w:val="00373614"/>
    <w:rsid w:val="003A5FFD"/>
    <w:rsid w:val="003B2ECD"/>
    <w:rsid w:val="003C1C05"/>
    <w:rsid w:val="003C4261"/>
    <w:rsid w:val="003D0EDC"/>
    <w:rsid w:val="003E4313"/>
    <w:rsid w:val="003E5FCA"/>
    <w:rsid w:val="00417019"/>
    <w:rsid w:val="00421814"/>
    <w:rsid w:val="00446684"/>
    <w:rsid w:val="0045220B"/>
    <w:rsid w:val="00462575"/>
    <w:rsid w:val="00466D6D"/>
    <w:rsid w:val="004700B2"/>
    <w:rsid w:val="004A216A"/>
    <w:rsid w:val="004A7E5F"/>
    <w:rsid w:val="004C49F4"/>
    <w:rsid w:val="004C75E3"/>
    <w:rsid w:val="004D370A"/>
    <w:rsid w:val="004E7ADD"/>
    <w:rsid w:val="004F3D36"/>
    <w:rsid w:val="004F68CE"/>
    <w:rsid w:val="00546B3E"/>
    <w:rsid w:val="00561125"/>
    <w:rsid w:val="005655F9"/>
    <w:rsid w:val="00575978"/>
    <w:rsid w:val="00592A78"/>
    <w:rsid w:val="005B16B4"/>
    <w:rsid w:val="005C6543"/>
    <w:rsid w:val="005E025B"/>
    <w:rsid w:val="005E0CFA"/>
    <w:rsid w:val="005E6621"/>
    <w:rsid w:val="00613BCB"/>
    <w:rsid w:val="00616E09"/>
    <w:rsid w:val="00634C7B"/>
    <w:rsid w:val="00641236"/>
    <w:rsid w:val="006417C5"/>
    <w:rsid w:val="0065203A"/>
    <w:rsid w:val="00657A3D"/>
    <w:rsid w:val="0066693F"/>
    <w:rsid w:val="00673FCE"/>
    <w:rsid w:val="00694DF1"/>
    <w:rsid w:val="006A1233"/>
    <w:rsid w:val="006D328B"/>
    <w:rsid w:val="006D65AC"/>
    <w:rsid w:val="006D71D3"/>
    <w:rsid w:val="006D7DE8"/>
    <w:rsid w:val="006F4FCE"/>
    <w:rsid w:val="00712936"/>
    <w:rsid w:val="0072139D"/>
    <w:rsid w:val="00734CD6"/>
    <w:rsid w:val="00740BFE"/>
    <w:rsid w:val="00763AEC"/>
    <w:rsid w:val="00781B01"/>
    <w:rsid w:val="00790288"/>
    <w:rsid w:val="007A40CC"/>
    <w:rsid w:val="007A5E6A"/>
    <w:rsid w:val="007C2D13"/>
    <w:rsid w:val="007E660D"/>
    <w:rsid w:val="007F27FC"/>
    <w:rsid w:val="008206C0"/>
    <w:rsid w:val="00835C8D"/>
    <w:rsid w:val="00893BAF"/>
    <w:rsid w:val="008B2B4E"/>
    <w:rsid w:val="008B7D79"/>
    <w:rsid w:val="008D7C51"/>
    <w:rsid w:val="00941990"/>
    <w:rsid w:val="0095734B"/>
    <w:rsid w:val="00973105"/>
    <w:rsid w:val="009A45C1"/>
    <w:rsid w:val="009E7B95"/>
    <w:rsid w:val="00A166F7"/>
    <w:rsid w:val="00A75421"/>
    <w:rsid w:val="00AA1B3F"/>
    <w:rsid w:val="00AD1C11"/>
    <w:rsid w:val="00AF36A6"/>
    <w:rsid w:val="00B33290"/>
    <w:rsid w:val="00BB0966"/>
    <w:rsid w:val="00BB581D"/>
    <w:rsid w:val="00BC352F"/>
    <w:rsid w:val="00BC77DD"/>
    <w:rsid w:val="00BE7F7A"/>
    <w:rsid w:val="00BF207A"/>
    <w:rsid w:val="00BF41D9"/>
    <w:rsid w:val="00C558D7"/>
    <w:rsid w:val="00C67A33"/>
    <w:rsid w:val="00C738F8"/>
    <w:rsid w:val="00C758E2"/>
    <w:rsid w:val="00CD3BB7"/>
    <w:rsid w:val="00CE10B3"/>
    <w:rsid w:val="00CF60F6"/>
    <w:rsid w:val="00D218F2"/>
    <w:rsid w:val="00D35D32"/>
    <w:rsid w:val="00D709E0"/>
    <w:rsid w:val="00D91202"/>
    <w:rsid w:val="00DC25B8"/>
    <w:rsid w:val="00DC5FB0"/>
    <w:rsid w:val="00DD2CA8"/>
    <w:rsid w:val="00DE385E"/>
    <w:rsid w:val="00E01090"/>
    <w:rsid w:val="00E158B0"/>
    <w:rsid w:val="00E82F9C"/>
    <w:rsid w:val="00EA3523"/>
    <w:rsid w:val="00EF1584"/>
    <w:rsid w:val="00F30A5B"/>
    <w:rsid w:val="00F476A8"/>
    <w:rsid w:val="00F52AEF"/>
    <w:rsid w:val="00F55A88"/>
    <w:rsid w:val="00F92656"/>
    <w:rsid w:val="00FC498E"/>
    <w:rsid w:val="00FC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6D"/>
    <w:rPr>
      <w:rFonts w:ascii="Tahoma" w:hAnsi="Tahoma" w:cs="Tahoma"/>
      <w:sz w:val="16"/>
      <w:szCs w:val="16"/>
    </w:rPr>
  </w:style>
  <w:style w:type="paragraph" w:styleId="NoSpacing">
    <w:name w:val="No Spacing"/>
    <w:link w:val="NoSpacingChar"/>
    <w:uiPriority w:val="1"/>
    <w:qFormat/>
    <w:rsid w:val="00417019"/>
    <w:rPr>
      <w:rFonts w:eastAsia="Times New Roman"/>
      <w:sz w:val="22"/>
      <w:szCs w:val="22"/>
    </w:rPr>
  </w:style>
  <w:style w:type="character" w:customStyle="1" w:styleId="NoSpacingChar">
    <w:name w:val="No Spacing Char"/>
    <w:basedOn w:val="DefaultParagraphFont"/>
    <w:link w:val="NoSpacing"/>
    <w:uiPriority w:val="1"/>
    <w:rsid w:val="00417019"/>
    <w:rPr>
      <w:rFonts w:eastAsia="Times New Roman"/>
      <w:sz w:val="22"/>
      <w:szCs w:val="22"/>
      <w:lang w:val="en-US" w:eastAsia="en-US" w:bidi="ar-SA"/>
    </w:rPr>
  </w:style>
  <w:style w:type="character" w:styleId="Hyperlink">
    <w:name w:val="Hyperlink"/>
    <w:basedOn w:val="DefaultParagraphFont"/>
    <w:uiPriority w:val="99"/>
    <w:unhideWhenUsed/>
    <w:rsid w:val="006D7DE8"/>
    <w:rPr>
      <w:color w:val="0000FF" w:themeColor="hyperlink"/>
      <w:u w:val="single"/>
    </w:rPr>
  </w:style>
  <w:style w:type="paragraph" w:styleId="ListParagraph">
    <w:name w:val="List Paragraph"/>
    <w:basedOn w:val="Normal"/>
    <w:uiPriority w:val="34"/>
    <w:qFormat/>
    <w:rsid w:val="00D709E0"/>
    <w:pPr>
      <w:ind w:left="720"/>
      <w:contextualSpacing/>
    </w:pPr>
  </w:style>
  <w:style w:type="paragraph" w:styleId="Header">
    <w:name w:val="header"/>
    <w:basedOn w:val="Normal"/>
    <w:link w:val="HeaderChar"/>
    <w:uiPriority w:val="99"/>
    <w:unhideWhenUsed/>
    <w:rsid w:val="00BE7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7A"/>
    <w:rPr>
      <w:sz w:val="22"/>
      <w:szCs w:val="22"/>
    </w:rPr>
  </w:style>
  <w:style w:type="paragraph" w:styleId="Footer">
    <w:name w:val="footer"/>
    <w:basedOn w:val="Normal"/>
    <w:link w:val="FooterChar"/>
    <w:uiPriority w:val="99"/>
    <w:unhideWhenUsed/>
    <w:rsid w:val="00BE7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n.org/en/development/desa/policy/wesp/index.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in.reuters.com/article/2011/09/28/us-merck-johnsonandjohnson-idINTRE78R67I20110928?type=companyNews"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bloomberg.com/news/2011-11-02/fed-lowers-economic-growth-outlook-for-next-year-sees-8-6-unemployment.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roundedCorners val="1"/>
  <c:style val="2"/>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US"/>
              <a:t>Price movement</a:t>
            </a:r>
          </a:p>
        </c:rich>
      </c:tx>
      <c:overlay val="1"/>
    </c:title>
    <c:autoTitleDeleted val="0"/>
    <c:plotArea>
      <c:layout/>
      <c:lineChart>
        <c:grouping val="standard"/>
        <c:varyColors val="1"/>
        <c:ser>
          <c:idx val="0"/>
          <c:order val="0"/>
          <c:tx>
            <c:strRef>
              <c:f>Sheet1!$B$1</c:f>
              <c:strCache>
                <c:ptCount val="1"/>
                <c:pt idx="0">
                  <c:v>Close</c:v>
                </c:pt>
              </c:strCache>
            </c:strRef>
          </c:tx>
          <c:marker>
            <c:symbol val="none"/>
          </c:marker>
          <c:cat>
            <c:numRef>
              <c:f>Sheet1!$A$2:$A$86</c:f>
              <c:numCache>
                <c:formatCode>mmm\-yy</c:formatCode>
                <c:ptCount val="85"/>
                <c:pt idx="0">
                  <c:v>38687</c:v>
                </c:pt>
                <c:pt idx="1">
                  <c:v>38718</c:v>
                </c:pt>
                <c:pt idx="2">
                  <c:v>38749</c:v>
                </c:pt>
                <c:pt idx="3">
                  <c:v>38777</c:v>
                </c:pt>
                <c:pt idx="4">
                  <c:v>38808</c:v>
                </c:pt>
                <c:pt idx="5">
                  <c:v>38838</c:v>
                </c:pt>
                <c:pt idx="6">
                  <c:v>38869</c:v>
                </c:pt>
                <c:pt idx="7">
                  <c:v>38899</c:v>
                </c:pt>
                <c:pt idx="8">
                  <c:v>38930</c:v>
                </c:pt>
                <c:pt idx="9">
                  <c:v>38961</c:v>
                </c:pt>
                <c:pt idx="10">
                  <c:v>38991</c:v>
                </c:pt>
                <c:pt idx="11">
                  <c:v>39022</c:v>
                </c:pt>
                <c:pt idx="12">
                  <c:v>39052</c:v>
                </c:pt>
                <c:pt idx="13">
                  <c:v>39083</c:v>
                </c:pt>
                <c:pt idx="14">
                  <c:v>39114</c:v>
                </c:pt>
                <c:pt idx="15">
                  <c:v>39142</c:v>
                </c:pt>
                <c:pt idx="16">
                  <c:v>39173</c:v>
                </c:pt>
                <c:pt idx="17">
                  <c:v>39203</c:v>
                </c:pt>
                <c:pt idx="18">
                  <c:v>39234</c:v>
                </c:pt>
                <c:pt idx="19">
                  <c:v>39264</c:v>
                </c:pt>
                <c:pt idx="20">
                  <c:v>39295</c:v>
                </c:pt>
                <c:pt idx="21">
                  <c:v>39326</c:v>
                </c:pt>
                <c:pt idx="22">
                  <c:v>39356</c:v>
                </c:pt>
                <c:pt idx="23">
                  <c:v>39387</c:v>
                </c:pt>
                <c:pt idx="24">
                  <c:v>39417</c:v>
                </c:pt>
                <c:pt idx="25">
                  <c:v>39448</c:v>
                </c:pt>
                <c:pt idx="26">
                  <c:v>39479</c:v>
                </c:pt>
                <c:pt idx="27">
                  <c:v>39508</c:v>
                </c:pt>
                <c:pt idx="28">
                  <c:v>39539</c:v>
                </c:pt>
                <c:pt idx="29">
                  <c:v>39569</c:v>
                </c:pt>
                <c:pt idx="30">
                  <c:v>39600</c:v>
                </c:pt>
                <c:pt idx="31">
                  <c:v>39630</c:v>
                </c:pt>
                <c:pt idx="32">
                  <c:v>39661</c:v>
                </c:pt>
                <c:pt idx="33">
                  <c:v>39692</c:v>
                </c:pt>
                <c:pt idx="34">
                  <c:v>39722</c:v>
                </c:pt>
                <c:pt idx="35">
                  <c:v>39753</c:v>
                </c:pt>
                <c:pt idx="36">
                  <c:v>39783</c:v>
                </c:pt>
                <c:pt idx="37">
                  <c:v>39814</c:v>
                </c:pt>
                <c:pt idx="38">
                  <c:v>39845</c:v>
                </c:pt>
                <c:pt idx="39">
                  <c:v>39873</c:v>
                </c:pt>
                <c:pt idx="40">
                  <c:v>39904</c:v>
                </c:pt>
                <c:pt idx="41">
                  <c:v>39934</c:v>
                </c:pt>
                <c:pt idx="42">
                  <c:v>39965</c:v>
                </c:pt>
                <c:pt idx="43">
                  <c:v>39995</c:v>
                </c:pt>
                <c:pt idx="44">
                  <c:v>40026</c:v>
                </c:pt>
                <c:pt idx="45">
                  <c:v>40057</c:v>
                </c:pt>
                <c:pt idx="46">
                  <c:v>40087</c:v>
                </c:pt>
                <c:pt idx="47">
                  <c:v>40118</c:v>
                </c:pt>
                <c:pt idx="48">
                  <c:v>40148</c:v>
                </c:pt>
                <c:pt idx="49">
                  <c:v>40179</c:v>
                </c:pt>
                <c:pt idx="50">
                  <c:v>40210</c:v>
                </c:pt>
                <c:pt idx="51">
                  <c:v>40238</c:v>
                </c:pt>
                <c:pt idx="52">
                  <c:v>40269</c:v>
                </c:pt>
                <c:pt idx="53">
                  <c:v>40299</c:v>
                </c:pt>
                <c:pt idx="54">
                  <c:v>40330</c:v>
                </c:pt>
                <c:pt idx="55">
                  <c:v>40360</c:v>
                </c:pt>
                <c:pt idx="56">
                  <c:v>40391</c:v>
                </c:pt>
                <c:pt idx="57">
                  <c:v>40422</c:v>
                </c:pt>
                <c:pt idx="58">
                  <c:v>40452</c:v>
                </c:pt>
                <c:pt idx="59">
                  <c:v>40483</c:v>
                </c:pt>
                <c:pt idx="60">
                  <c:v>40513</c:v>
                </c:pt>
                <c:pt idx="61">
                  <c:v>40544</c:v>
                </c:pt>
                <c:pt idx="62">
                  <c:v>40575</c:v>
                </c:pt>
                <c:pt idx="63">
                  <c:v>40603</c:v>
                </c:pt>
                <c:pt idx="64">
                  <c:v>40634</c:v>
                </c:pt>
                <c:pt idx="65">
                  <c:v>40664</c:v>
                </c:pt>
                <c:pt idx="66">
                  <c:v>40695</c:v>
                </c:pt>
                <c:pt idx="67">
                  <c:v>40725</c:v>
                </c:pt>
                <c:pt idx="68">
                  <c:v>40756</c:v>
                </c:pt>
                <c:pt idx="69">
                  <c:v>40787</c:v>
                </c:pt>
                <c:pt idx="70">
                  <c:v>40817</c:v>
                </c:pt>
                <c:pt idx="71">
                  <c:v>40848</c:v>
                </c:pt>
                <c:pt idx="72">
                  <c:v>40878</c:v>
                </c:pt>
                <c:pt idx="73" formatCode="mmm\-yy&quot;F&quot;">
                  <c:v>40909</c:v>
                </c:pt>
                <c:pt idx="74" formatCode="mmm\-yy&quot;F&quot;">
                  <c:v>40940</c:v>
                </c:pt>
                <c:pt idx="75" formatCode="mmm\-yy&quot;F&quot;">
                  <c:v>40969</c:v>
                </c:pt>
                <c:pt idx="76" formatCode="mmm\-yy&quot;F&quot;">
                  <c:v>41000</c:v>
                </c:pt>
                <c:pt idx="77" formatCode="mmm\-yy&quot;F&quot;">
                  <c:v>41030</c:v>
                </c:pt>
                <c:pt idx="78" formatCode="mmm\-yy&quot;F&quot;">
                  <c:v>41061</c:v>
                </c:pt>
                <c:pt idx="79" formatCode="mmm\-yy&quot;F&quot;">
                  <c:v>41091</c:v>
                </c:pt>
                <c:pt idx="80" formatCode="mmm\-yy&quot;F&quot;">
                  <c:v>41122</c:v>
                </c:pt>
                <c:pt idx="81" formatCode="mmm\-yy&quot;F&quot;">
                  <c:v>41153</c:v>
                </c:pt>
                <c:pt idx="82" formatCode="mmm\-yy&quot;F&quot;">
                  <c:v>41183</c:v>
                </c:pt>
                <c:pt idx="83" formatCode="mmm\-yy&quot;F&quot;">
                  <c:v>41214</c:v>
                </c:pt>
                <c:pt idx="84" formatCode="mmm\-yy&quot;F&quot;">
                  <c:v>41244</c:v>
                </c:pt>
              </c:numCache>
            </c:numRef>
          </c:cat>
          <c:val>
            <c:numRef>
              <c:f>Sheet1!$B$2:$B$86</c:f>
              <c:numCache>
                <c:formatCode>General</c:formatCode>
                <c:ptCount val="85"/>
                <c:pt idx="0">
                  <c:v>60.1</c:v>
                </c:pt>
                <c:pt idx="1">
                  <c:v>57.54</c:v>
                </c:pt>
                <c:pt idx="2">
                  <c:v>57.65</c:v>
                </c:pt>
                <c:pt idx="3">
                  <c:v>59.220000000000013</c:v>
                </c:pt>
                <c:pt idx="4">
                  <c:v>58.61</c:v>
                </c:pt>
                <c:pt idx="5">
                  <c:v>60.220000000000013</c:v>
                </c:pt>
                <c:pt idx="6">
                  <c:v>59.92</c:v>
                </c:pt>
                <c:pt idx="7">
                  <c:v>62.55</c:v>
                </c:pt>
                <c:pt idx="8">
                  <c:v>64.66</c:v>
                </c:pt>
                <c:pt idx="9">
                  <c:v>64.940000000000026</c:v>
                </c:pt>
                <c:pt idx="10">
                  <c:v>67.400000000000006</c:v>
                </c:pt>
                <c:pt idx="11">
                  <c:v>65.910000000000025</c:v>
                </c:pt>
                <c:pt idx="12">
                  <c:v>66.02</c:v>
                </c:pt>
                <c:pt idx="13">
                  <c:v>66.8</c:v>
                </c:pt>
                <c:pt idx="14">
                  <c:v>62.93</c:v>
                </c:pt>
                <c:pt idx="15">
                  <c:v>60.260000000000012</c:v>
                </c:pt>
                <c:pt idx="16">
                  <c:v>64.22</c:v>
                </c:pt>
                <c:pt idx="17">
                  <c:v>63.27</c:v>
                </c:pt>
                <c:pt idx="18">
                  <c:v>61.620000000000012</c:v>
                </c:pt>
                <c:pt idx="19">
                  <c:v>60.5</c:v>
                </c:pt>
                <c:pt idx="20">
                  <c:v>61.790000000000013</c:v>
                </c:pt>
                <c:pt idx="21">
                  <c:v>65.7</c:v>
                </c:pt>
                <c:pt idx="22">
                  <c:v>65.169999999999987</c:v>
                </c:pt>
                <c:pt idx="23">
                  <c:v>67.739999999999995</c:v>
                </c:pt>
                <c:pt idx="24">
                  <c:v>66.7</c:v>
                </c:pt>
                <c:pt idx="25">
                  <c:v>63.14</c:v>
                </c:pt>
                <c:pt idx="26">
                  <c:v>61.96</c:v>
                </c:pt>
                <c:pt idx="27">
                  <c:v>64.86999999999999</c:v>
                </c:pt>
                <c:pt idx="28">
                  <c:v>67.09</c:v>
                </c:pt>
                <c:pt idx="29">
                  <c:v>66.739999999999995</c:v>
                </c:pt>
                <c:pt idx="30">
                  <c:v>64.34</c:v>
                </c:pt>
                <c:pt idx="31">
                  <c:v>68.47</c:v>
                </c:pt>
                <c:pt idx="32">
                  <c:v>70.430000000000007</c:v>
                </c:pt>
                <c:pt idx="33">
                  <c:v>69.28</c:v>
                </c:pt>
                <c:pt idx="34">
                  <c:v>61.34</c:v>
                </c:pt>
                <c:pt idx="35">
                  <c:v>58.58</c:v>
                </c:pt>
                <c:pt idx="36">
                  <c:v>59.83</c:v>
                </c:pt>
                <c:pt idx="37">
                  <c:v>57.690000000000012</c:v>
                </c:pt>
                <c:pt idx="38">
                  <c:v>50</c:v>
                </c:pt>
                <c:pt idx="39">
                  <c:v>52.6</c:v>
                </c:pt>
                <c:pt idx="40">
                  <c:v>52.36</c:v>
                </c:pt>
                <c:pt idx="41">
                  <c:v>55.160000000000011</c:v>
                </c:pt>
                <c:pt idx="42">
                  <c:v>56.8</c:v>
                </c:pt>
                <c:pt idx="43">
                  <c:v>60.89</c:v>
                </c:pt>
                <c:pt idx="44">
                  <c:v>60.44</c:v>
                </c:pt>
                <c:pt idx="45">
                  <c:v>60.89</c:v>
                </c:pt>
                <c:pt idx="46">
                  <c:v>59.05</c:v>
                </c:pt>
                <c:pt idx="47">
                  <c:v>62.84</c:v>
                </c:pt>
                <c:pt idx="48">
                  <c:v>64.410000000000025</c:v>
                </c:pt>
                <c:pt idx="49">
                  <c:v>62.86</c:v>
                </c:pt>
                <c:pt idx="50">
                  <c:v>63</c:v>
                </c:pt>
                <c:pt idx="51">
                  <c:v>65.2</c:v>
                </c:pt>
                <c:pt idx="52">
                  <c:v>64.3</c:v>
                </c:pt>
                <c:pt idx="53">
                  <c:v>58.3</c:v>
                </c:pt>
                <c:pt idx="54">
                  <c:v>59.06</c:v>
                </c:pt>
                <c:pt idx="55">
                  <c:v>58.09</c:v>
                </c:pt>
                <c:pt idx="56">
                  <c:v>57.02</c:v>
                </c:pt>
                <c:pt idx="57">
                  <c:v>61.96</c:v>
                </c:pt>
                <c:pt idx="58">
                  <c:v>63.74</c:v>
                </c:pt>
                <c:pt idx="59">
                  <c:v>61.55</c:v>
                </c:pt>
                <c:pt idx="60">
                  <c:v>61.85</c:v>
                </c:pt>
                <c:pt idx="61">
                  <c:v>59.77</c:v>
                </c:pt>
                <c:pt idx="62">
                  <c:v>61.44</c:v>
                </c:pt>
                <c:pt idx="63">
                  <c:v>59.25</c:v>
                </c:pt>
                <c:pt idx="64">
                  <c:v>65.72</c:v>
                </c:pt>
                <c:pt idx="65">
                  <c:v>67.290000000000006</c:v>
                </c:pt>
                <c:pt idx="66">
                  <c:v>66.52</c:v>
                </c:pt>
                <c:pt idx="67">
                  <c:v>64.790000000000006</c:v>
                </c:pt>
                <c:pt idx="68">
                  <c:v>65.8</c:v>
                </c:pt>
                <c:pt idx="69">
                  <c:v>63.690000000000012</c:v>
                </c:pt>
                <c:pt idx="70">
                  <c:v>64.39</c:v>
                </c:pt>
                <c:pt idx="71">
                  <c:v>64.72</c:v>
                </c:pt>
                <c:pt idx="72">
                  <c:v>63.49</c:v>
                </c:pt>
                <c:pt idx="73">
                  <c:v>65.156666666666652</c:v>
                </c:pt>
                <c:pt idx="74">
                  <c:v>65.094074074074072</c:v>
                </c:pt>
                <c:pt idx="75">
                  <c:v>64.850082304526552</c:v>
                </c:pt>
                <c:pt idx="76">
                  <c:v>64.664535893918611</c:v>
                </c:pt>
                <c:pt idx="77">
                  <c:v>64.650595437687258</c:v>
                </c:pt>
                <c:pt idx="78">
                  <c:v>64.522883819652435</c:v>
                </c:pt>
                <c:pt idx="79">
                  <c:v>64.615426466280653</c:v>
                </c:pt>
                <c:pt idx="80">
                  <c:v>64.640473851422854</c:v>
                </c:pt>
                <c:pt idx="81">
                  <c:v>64.631637612692089</c:v>
                </c:pt>
                <c:pt idx="82">
                  <c:v>64.758486236324487</c:v>
                </c:pt>
                <c:pt idx="83">
                  <c:v>64.714243966286759</c:v>
                </c:pt>
                <c:pt idx="84">
                  <c:v>64.672040620976858</c:v>
                </c:pt>
              </c:numCache>
            </c:numRef>
          </c:val>
          <c:smooth val="1"/>
        </c:ser>
        <c:dLbls>
          <c:showLegendKey val="0"/>
          <c:showVal val="0"/>
          <c:showCatName val="0"/>
          <c:showSerName val="0"/>
          <c:showPercent val="0"/>
          <c:showBubbleSize val="0"/>
        </c:dLbls>
        <c:marker val="1"/>
        <c:smooth val="0"/>
        <c:axId val="187041280"/>
        <c:axId val="187042816"/>
      </c:lineChart>
      <c:dateAx>
        <c:axId val="187041280"/>
        <c:scaling>
          <c:orientation val="minMax"/>
        </c:scaling>
        <c:delete val="1"/>
        <c:axPos val="b"/>
        <c:numFmt formatCode="mmm\-yy" sourceLinked="0"/>
        <c:majorTickMark val="cross"/>
        <c:minorTickMark val="cross"/>
        <c:tickLblPos val="nextTo"/>
        <c:crossAx val="187042816"/>
        <c:crosses val="autoZero"/>
        <c:auto val="1"/>
        <c:lblOffset val="100"/>
        <c:baseTimeUnit val="months"/>
        <c:majorUnit val="6"/>
        <c:majorTimeUnit val="months"/>
      </c:dateAx>
      <c:valAx>
        <c:axId val="187042816"/>
        <c:scaling>
          <c:orientation val="minMax"/>
          <c:min val="40"/>
        </c:scaling>
        <c:delete val="1"/>
        <c:axPos val="l"/>
        <c:majorGridlines/>
        <c:numFmt formatCode="General" sourceLinked="1"/>
        <c:majorTickMark val="cross"/>
        <c:minorTickMark val="cross"/>
        <c:tickLblPos val="nextTo"/>
        <c:crossAx val="187041280"/>
        <c:crosses val="autoZero"/>
        <c:crossBetween val="between"/>
      </c:valAx>
    </c:plotArea>
    <c:plotVisOnly val="1"/>
    <c:dispBlanksAs val="gap"/>
    <c:showDLblsOverMax val="1"/>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roundedCorners val="1"/>
  <c:style val="2"/>
  <c:chart>
    <c:autoTitleDeleted val="1"/>
    <c:plotArea>
      <c:layout>
        <c:manualLayout>
          <c:layoutTarget val="inner"/>
          <c:xMode val="edge"/>
          <c:yMode val="edge"/>
          <c:x val="6.7716535433070962E-2"/>
          <c:y val="0.1304347826086957"/>
          <c:w val="0.85039370078740151"/>
          <c:h val="0.8"/>
        </c:manualLayout>
      </c:layout>
      <c:barChart>
        <c:barDir val="col"/>
        <c:grouping val="clustered"/>
        <c:varyColors val="1"/>
        <c:ser>
          <c:idx val="1"/>
          <c:order val="0"/>
          <c:tx>
            <c:strRef>
              <c:f>Sheet1!$A$2</c:f>
              <c:strCache>
                <c:ptCount val="1"/>
                <c:pt idx="0">
                  <c:v>DPS</c:v>
                </c:pt>
              </c:strCache>
            </c:strRef>
          </c:tx>
          <c:spPr>
            <a:solidFill>
              <a:srgbClr val="0066CC"/>
            </a:solidFill>
            <a:ln w="25400">
              <a:noFill/>
            </a:ln>
          </c:spPr>
          <c:invertIfNegative val="1"/>
          <c:dLbls>
            <c:numFmt formatCode="0.00" sourceLinked="0"/>
            <c:spPr>
              <a:noFill/>
              <a:ln w="25400">
                <a:noFill/>
              </a:ln>
            </c:spPr>
            <c:txPr>
              <a:bodyPr/>
              <a:lstStyle/>
              <a:p>
                <a:pPr>
                  <a:defRPr sz="900" b="1" i="0" u="none" strike="noStrike" baseline="0">
                    <a:solidFill>
                      <a:srgbClr val="000000"/>
                    </a:solidFill>
                    <a:latin typeface="Calibri"/>
                    <a:ea typeface="Calibri"/>
                    <a:cs typeface="Calibri"/>
                  </a:defRPr>
                </a:pPr>
                <a:endParaRPr lang="en-US"/>
              </a:p>
            </c:txPr>
            <c:showLegendKey val="1"/>
            <c:showVal val="1"/>
            <c:showCatName val="1"/>
            <c:showSerName val="1"/>
            <c:showPercent val="1"/>
            <c:showBubbleSize val="1"/>
            <c:showLeaderLines val="0"/>
          </c:dLbls>
          <c:cat>
            <c:numRef>
              <c:f>Sheet1!$B$1:$D$1</c:f>
              <c:numCache>
                <c:formatCode>General</c:formatCode>
                <c:ptCount val="3"/>
              </c:numCache>
            </c:numRef>
          </c:cat>
          <c:val>
            <c:numRef>
              <c:f>Sheet1!$B$2:$D$2</c:f>
              <c:numCache>
                <c:formatCode>General</c:formatCode>
                <c:ptCount val="3"/>
                <c:pt idx="0">
                  <c:v>1.7949999999999986</c:v>
                </c:pt>
                <c:pt idx="1">
                  <c:v>1.9300000000000013</c:v>
                </c:pt>
                <c:pt idx="2">
                  <c:v>2.11</c:v>
                </c:pt>
              </c:numCache>
            </c:numRef>
          </c:val>
          <c:extLst>
            <c:ext xmlns:c14="http://schemas.microsoft.com/office/drawing/2007/8/2/chart" uri="{6F2FDCE9-48DA-4B69-8628-5D25D57E5C99}">
              <c14:invertSolidFillFmt>
                <c14:spPr xmlns:c14="http://schemas.microsoft.com/office/drawing/2007/8/2/chart">
                  <a:solidFill>
                    <a:srgbClr val="FFFFFF"/>
                  </a:solidFill>
                  <a:ln w="25400">
                    <a:noFill/>
                  </a:ln>
                </c14:spPr>
              </c14:invertSolidFillFmt>
            </c:ext>
          </c:extLst>
        </c:ser>
        <c:dLbls>
          <c:showLegendKey val="0"/>
          <c:showVal val="0"/>
          <c:showCatName val="0"/>
          <c:showSerName val="0"/>
          <c:showPercent val="0"/>
          <c:showBubbleSize val="0"/>
        </c:dLbls>
        <c:gapWidth val="150"/>
        <c:axId val="284812032"/>
        <c:axId val="284813952"/>
      </c:barChart>
      <c:lineChart>
        <c:grouping val="standard"/>
        <c:varyColors val="1"/>
        <c:ser>
          <c:idx val="0"/>
          <c:order val="1"/>
          <c:tx>
            <c:strRef>
              <c:f>Sheet1!$A$3</c:f>
              <c:strCache>
                <c:ptCount val="1"/>
                <c:pt idx="0">
                  <c:v>Dividend yield</c:v>
                </c:pt>
              </c:strCache>
            </c:strRef>
          </c:tx>
          <c:spPr>
            <a:ln w="25400">
              <a:solidFill>
                <a:srgbClr val="99CC00"/>
              </a:solidFill>
              <a:prstDash val="solid"/>
            </a:ln>
          </c:spPr>
          <c:marker>
            <c:symbol val="triangle"/>
            <c:size val="5"/>
            <c:spPr>
              <a:solidFill>
                <a:srgbClr val="993366"/>
              </a:solidFill>
              <a:ln>
                <a:solidFill>
                  <a:srgbClr val="993366"/>
                </a:solidFill>
                <a:prstDash val="solid"/>
              </a:ln>
            </c:spPr>
          </c:marker>
          <c:cat>
            <c:numRef>
              <c:f>Sheet1!$B$1:$D$1</c:f>
              <c:numCache>
                <c:formatCode>General</c:formatCode>
                <c:ptCount val="3"/>
              </c:numCache>
            </c:numRef>
          </c:cat>
          <c:val>
            <c:numRef>
              <c:f>Sheet1!$B$3:$D$3</c:f>
              <c:numCache>
                <c:formatCode>0.00%</c:formatCode>
                <c:ptCount val="3"/>
                <c:pt idx="0">
                  <c:v>3.0000000000000002E-2</c:v>
                </c:pt>
                <c:pt idx="1">
                  <c:v>3.0000000000000002E-2</c:v>
                </c:pt>
                <c:pt idx="2">
                  <c:v>3.4000000000000002E-2</c:v>
                </c:pt>
              </c:numCache>
            </c:numRef>
          </c:val>
          <c:smooth val="1"/>
        </c:ser>
        <c:dLbls>
          <c:showLegendKey val="0"/>
          <c:showVal val="0"/>
          <c:showCatName val="0"/>
          <c:showSerName val="0"/>
          <c:showPercent val="0"/>
          <c:showBubbleSize val="0"/>
        </c:dLbls>
        <c:marker val="1"/>
        <c:smooth val="0"/>
        <c:axId val="284815744"/>
        <c:axId val="284817280"/>
      </c:lineChart>
      <c:catAx>
        <c:axId val="284812032"/>
        <c:scaling>
          <c:orientation val="minMax"/>
        </c:scaling>
        <c:delete val="1"/>
        <c:axPos val="b"/>
        <c:numFmt formatCode="General" sourceLinked="1"/>
        <c:majorTickMark val="cross"/>
        <c:minorTickMark val="cross"/>
        <c:tickLblPos val="nextTo"/>
        <c:crossAx val="284813952"/>
        <c:crosses val="autoZero"/>
        <c:auto val="1"/>
        <c:lblAlgn val="ctr"/>
        <c:lblOffset val="100"/>
        <c:tickLblSkip val="1"/>
        <c:tickMarkSkip val="1"/>
        <c:noMultiLvlLbl val="1"/>
      </c:catAx>
      <c:valAx>
        <c:axId val="284813952"/>
        <c:scaling>
          <c:orientation val="minMax"/>
        </c:scaling>
        <c:delete val="1"/>
        <c:axPos val="l"/>
        <c:numFmt formatCode="General" sourceLinked="1"/>
        <c:majorTickMark val="cross"/>
        <c:minorTickMark val="cross"/>
        <c:tickLblPos val="nextTo"/>
        <c:crossAx val="284812032"/>
        <c:crosses val="autoZero"/>
        <c:crossBetween val="between"/>
      </c:valAx>
      <c:catAx>
        <c:axId val="284815744"/>
        <c:scaling>
          <c:orientation val="minMax"/>
        </c:scaling>
        <c:delete val="1"/>
        <c:axPos val="b"/>
        <c:numFmt formatCode="General" sourceLinked="1"/>
        <c:majorTickMark val="cross"/>
        <c:minorTickMark val="cross"/>
        <c:tickLblPos val="nextTo"/>
        <c:crossAx val="284817280"/>
        <c:crosses val="autoZero"/>
        <c:auto val="1"/>
        <c:lblAlgn val="ctr"/>
        <c:lblOffset val="100"/>
        <c:noMultiLvlLbl val="1"/>
      </c:catAx>
      <c:valAx>
        <c:axId val="284817280"/>
        <c:scaling>
          <c:orientation val="minMax"/>
        </c:scaling>
        <c:delete val="1"/>
        <c:axPos val="r"/>
        <c:numFmt formatCode="0.00%" sourceLinked="1"/>
        <c:majorTickMark val="cross"/>
        <c:minorTickMark val="cross"/>
        <c:tickLblPos val="nextTo"/>
        <c:crossAx val="284815744"/>
        <c:crosses val="max"/>
        <c:crossBetween val="between"/>
      </c:valAx>
      <c:spPr>
        <a:noFill/>
        <a:ln w="25400">
          <a:noFill/>
        </a:ln>
      </c:spPr>
    </c:plotArea>
    <c:legend>
      <c:legendPos val="t"/>
      <c:layout>
        <c:manualLayout>
          <c:xMode val="edge"/>
          <c:yMode val="edge"/>
          <c:x val="0.36220472440944917"/>
          <c:y val="8.6956521739130575E-3"/>
          <c:w val="0.26141732283464614"/>
          <c:h val="6.0869565217391314E-2"/>
        </c:manualLayout>
      </c:layout>
      <c:overlay val="1"/>
      <c:spPr>
        <a:solidFill>
          <a:srgbClr val="FFFFFF"/>
        </a:solidFill>
        <a:ln w="25400">
          <a:noFill/>
        </a:ln>
      </c:spPr>
      <c:txPr>
        <a:bodyPr/>
        <a:lstStyle/>
        <a:p>
          <a:pPr>
            <a:defRPr sz="825" b="1" i="0" u="none" strike="noStrike" baseline="0">
              <a:solidFill>
                <a:srgbClr val="000000"/>
              </a:solidFill>
              <a:latin typeface="Calibri"/>
              <a:ea typeface="Calibri"/>
              <a:cs typeface="Calibri"/>
            </a:defRPr>
          </a:pPr>
          <a:endParaRPr lang="en-US"/>
        </a:p>
      </c:txPr>
    </c:legend>
    <c:plotVisOnly val="1"/>
    <c:dispBlanksAs val="gap"/>
    <c:showDLblsOverMax val="1"/>
  </c:chart>
  <c:spPr>
    <a:noFill/>
    <a:ln>
      <a:noFill/>
    </a:ln>
  </c:spPr>
  <c:txPr>
    <a:bodyPr/>
    <a:lstStyle/>
    <a:p>
      <a:pPr>
        <a:defRPr sz="9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roundedCorners val="1"/>
  <c:style val="2"/>
  <c:chart>
    <c:autoTitleDeleted val="1"/>
    <c:plotArea>
      <c:layout>
        <c:manualLayout>
          <c:layoutTarget val="inner"/>
          <c:xMode val="edge"/>
          <c:yMode val="edge"/>
          <c:x val="0.10708661417322843"/>
          <c:y val="0.16455696202531642"/>
          <c:w val="0.87716535433070864"/>
          <c:h val="0.680379746835443"/>
        </c:manualLayout>
      </c:layout>
      <c:barChart>
        <c:barDir val="col"/>
        <c:grouping val="clustered"/>
        <c:varyColors val="1"/>
        <c:ser>
          <c:idx val="0"/>
          <c:order val="0"/>
          <c:tx>
            <c:strRef>
              <c:f>Sheet1!$A$2</c:f>
              <c:strCache>
                <c:ptCount val="1"/>
                <c:pt idx="0">
                  <c:v>Long term debt</c:v>
                </c:pt>
              </c:strCache>
            </c:strRef>
          </c:tx>
          <c:spPr>
            <a:solidFill>
              <a:srgbClr val="FFCC99"/>
            </a:solidFill>
            <a:ln w="25399">
              <a:noFill/>
            </a:ln>
          </c:spPr>
          <c:invertIfNegative val="1"/>
          <c:dLbls>
            <c:spPr>
              <a:noFill/>
              <a:ln w="25399">
                <a:noFill/>
              </a:ln>
            </c:spPr>
            <c:txPr>
              <a:bodyPr/>
              <a:lstStyle/>
              <a:p>
                <a:pPr>
                  <a:defRPr sz="1200" b="1" i="0" u="none" strike="noStrike" baseline="0">
                    <a:solidFill>
                      <a:srgbClr val="000000"/>
                    </a:solidFill>
                    <a:latin typeface="Calibri"/>
                    <a:ea typeface="Calibri"/>
                    <a:cs typeface="Calibri"/>
                  </a:defRPr>
                </a:pPr>
                <a:endParaRPr lang="en-US"/>
              </a:p>
            </c:txPr>
            <c:showLegendKey val="1"/>
            <c:showVal val="1"/>
            <c:showCatName val="1"/>
            <c:showSerName val="1"/>
            <c:showPercent val="1"/>
            <c:showBubbleSize val="1"/>
            <c:showLeaderLines val="0"/>
          </c:dLbls>
          <c:cat>
            <c:numRef>
              <c:f>Sheet1!$B$1:$C$1</c:f>
              <c:numCache>
                <c:formatCode>General</c:formatCode>
                <c:ptCount val="2"/>
                <c:pt idx="0">
                  <c:v>2009</c:v>
                </c:pt>
                <c:pt idx="1">
                  <c:v>2010</c:v>
                </c:pt>
              </c:numCache>
            </c:numRef>
          </c:cat>
          <c:val>
            <c:numRef>
              <c:f>Sheet1!$B$2:$C$2</c:f>
              <c:numCache>
                <c:formatCode>#,##0</c:formatCode>
                <c:ptCount val="2"/>
                <c:pt idx="0">
                  <c:v>8223</c:v>
                </c:pt>
                <c:pt idx="1">
                  <c:v>9156</c:v>
                </c:pt>
              </c:numCache>
            </c:numRef>
          </c:val>
          <c:extLst>
            <c:ext xmlns:c14="http://schemas.microsoft.com/office/drawing/2007/8/2/chart" uri="{6F2FDCE9-48DA-4B69-8628-5D25D57E5C99}">
              <c14:invertSolidFillFmt>
                <c14:spPr xmlns:c14="http://schemas.microsoft.com/office/drawing/2007/8/2/chart">
                  <a:solidFill>
                    <a:srgbClr val="FFFFFF"/>
                  </a:solidFill>
                  <a:ln w="25399">
                    <a:noFill/>
                  </a:ln>
                </c14:spPr>
              </c14:invertSolidFillFmt>
            </c:ext>
          </c:extLst>
        </c:ser>
        <c:ser>
          <c:idx val="1"/>
          <c:order val="1"/>
          <c:tx>
            <c:strRef>
              <c:f>Sheet1!$A$3</c:f>
              <c:strCache>
                <c:ptCount val="1"/>
                <c:pt idx="0">
                  <c:v>Networth</c:v>
                </c:pt>
              </c:strCache>
            </c:strRef>
          </c:tx>
          <c:spPr>
            <a:solidFill>
              <a:srgbClr val="0066CC"/>
            </a:solidFill>
            <a:ln w="25399">
              <a:noFill/>
            </a:ln>
          </c:spPr>
          <c:invertIfNegative val="1"/>
          <c:dLbls>
            <c:spPr>
              <a:noFill/>
              <a:ln w="25399">
                <a:noFill/>
              </a:ln>
            </c:spPr>
            <c:txPr>
              <a:bodyPr/>
              <a:lstStyle/>
              <a:p>
                <a:pPr>
                  <a:defRPr sz="1200" b="1" i="0" u="none" strike="noStrike" baseline="0">
                    <a:solidFill>
                      <a:srgbClr val="000000"/>
                    </a:solidFill>
                    <a:latin typeface="Calibri"/>
                    <a:ea typeface="Calibri"/>
                    <a:cs typeface="Calibri"/>
                  </a:defRPr>
                </a:pPr>
                <a:endParaRPr lang="en-US"/>
              </a:p>
            </c:txPr>
            <c:showLegendKey val="1"/>
            <c:showVal val="1"/>
            <c:showCatName val="1"/>
            <c:showSerName val="1"/>
            <c:showPercent val="1"/>
            <c:showBubbleSize val="1"/>
            <c:showLeaderLines val="0"/>
          </c:dLbls>
          <c:cat>
            <c:numRef>
              <c:f>Sheet1!$B$1:$C$1</c:f>
              <c:numCache>
                <c:formatCode>General</c:formatCode>
                <c:ptCount val="2"/>
                <c:pt idx="0">
                  <c:v>2009</c:v>
                </c:pt>
                <c:pt idx="1">
                  <c:v>2010</c:v>
                </c:pt>
              </c:numCache>
            </c:numRef>
          </c:cat>
          <c:val>
            <c:numRef>
              <c:f>Sheet1!$B$3:$C$3</c:f>
              <c:numCache>
                <c:formatCode>#,##0</c:formatCode>
                <c:ptCount val="2"/>
                <c:pt idx="0">
                  <c:v>50588</c:v>
                </c:pt>
                <c:pt idx="1">
                  <c:v>56579</c:v>
                </c:pt>
              </c:numCache>
            </c:numRef>
          </c:val>
          <c:extLst>
            <c:ext xmlns:c14="http://schemas.microsoft.com/office/drawing/2007/8/2/chart" uri="{6F2FDCE9-48DA-4B69-8628-5D25D57E5C99}">
              <c14:invertSolidFillFmt>
                <c14:spPr xmlns:c14="http://schemas.microsoft.com/office/drawing/2007/8/2/chart">
                  <a:solidFill>
                    <a:srgbClr val="FFFFFF"/>
                  </a:solidFill>
                  <a:ln w="25399">
                    <a:noFill/>
                  </a:ln>
                </c14:spPr>
              </c14:invertSolidFillFmt>
            </c:ext>
          </c:extLst>
        </c:ser>
        <c:dLbls>
          <c:showLegendKey val="0"/>
          <c:showVal val="0"/>
          <c:showCatName val="0"/>
          <c:showSerName val="0"/>
          <c:showPercent val="0"/>
          <c:showBubbleSize val="0"/>
        </c:dLbls>
        <c:gapWidth val="150"/>
        <c:axId val="186915840"/>
        <c:axId val="286688000"/>
      </c:barChart>
      <c:catAx>
        <c:axId val="186915840"/>
        <c:scaling>
          <c:orientation val="minMax"/>
        </c:scaling>
        <c:delete val="1"/>
        <c:axPos val="b"/>
        <c:numFmt formatCode="General" sourceLinked="1"/>
        <c:majorTickMark val="cross"/>
        <c:minorTickMark val="cross"/>
        <c:tickLblPos val="nextTo"/>
        <c:crossAx val="286688000"/>
        <c:crosses val="autoZero"/>
        <c:auto val="1"/>
        <c:lblAlgn val="ctr"/>
        <c:lblOffset val="100"/>
        <c:tickLblSkip val="1"/>
        <c:tickMarkSkip val="1"/>
        <c:noMultiLvlLbl val="1"/>
      </c:catAx>
      <c:valAx>
        <c:axId val="286688000"/>
        <c:scaling>
          <c:orientation val="minMax"/>
        </c:scaling>
        <c:delete val="1"/>
        <c:axPos val="l"/>
        <c:numFmt formatCode="#,##0" sourceLinked="1"/>
        <c:majorTickMark val="cross"/>
        <c:minorTickMark val="cross"/>
        <c:tickLblPos val="nextTo"/>
        <c:crossAx val="186915840"/>
        <c:crosses val="autoZero"/>
        <c:crossBetween val="between"/>
      </c:valAx>
      <c:spPr>
        <a:noFill/>
        <a:ln w="25399">
          <a:noFill/>
        </a:ln>
      </c:spPr>
    </c:plotArea>
    <c:legend>
      <c:legendPos val="t"/>
      <c:layout>
        <c:manualLayout>
          <c:xMode val="edge"/>
          <c:yMode val="edge"/>
          <c:x val="0.37322834645669289"/>
          <c:y val="9.4936708860759566E-3"/>
          <c:w val="0.34330708661417331"/>
          <c:h val="7.9113924050633097E-2"/>
        </c:manualLayout>
      </c:layout>
      <c:overlay val="1"/>
      <c:spPr>
        <a:noFill/>
        <a:ln w="25399">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1"/>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roundedCorners val="1"/>
  <c:style val="2"/>
  <c:chart>
    <c:title>
      <c:tx>
        <c:rich>
          <a:bodyPr/>
          <a:lstStyle/>
          <a:p>
            <a:pPr>
              <a:defRPr sz="1100" b="1" i="0" u="none" strike="noStrike" baseline="0">
                <a:solidFill>
                  <a:srgbClr val="000000"/>
                </a:solidFill>
                <a:latin typeface="Verdana"/>
                <a:ea typeface="Verdana"/>
                <a:cs typeface="Verdana"/>
              </a:defRPr>
            </a:pPr>
            <a:r>
              <a:rPr lang="en-US"/>
              <a:t>Capital structure 2010</a:t>
            </a:r>
          </a:p>
        </c:rich>
      </c:tx>
      <c:layout>
        <c:manualLayout>
          <c:xMode val="edge"/>
          <c:yMode val="edge"/>
          <c:x val="0"/>
          <c:y val="0"/>
        </c:manualLayout>
      </c:layout>
      <c:overlay val="1"/>
      <c:spPr>
        <a:noFill/>
        <a:ln w="25399">
          <a:noFill/>
        </a:ln>
      </c:spPr>
    </c:title>
    <c:autoTitleDeleted val="0"/>
    <c:view3D>
      <c:rotX val="0"/>
      <c:rotY val="0"/>
      <c:rAngAx val="1"/>
    </c:view3D>
    <c:floor>
      <c:thickness val="0"/>
    </c:floor>
    <c:sideWall>
      <c:thickness val="0"/>
    </c:sideWall>
    <c:backWall>
      <c:thickness val="0"/>
    </c:backWall>
    <c:plotArea>
      <c:layout>
        <c:manualLayout>
          <c:layoutTarget val="inner"/>
          <c:xMode val="edge"/>
          <c:yMode val="edge"/>
          <c:x val="0.32913385826771652"/>
          <c:y val="0.21319796954314721"/>
          <c:w val="0.48031496062992207"/>
          <c:h val="0.609137055837563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FFCC99"/>
              </a:solidFill>
              <a:ln w="25399">
                <a:noFill/>
              </a:ln>
            </c:spPr>
          </c:dPt>
          <c:dPt>
            <c:idx val="1"/>
            <c:bubble3D val="0"/>
            <c:spPr>
              <a:solidFill>
                <a:srgbClr val="0066CC"/>
              </a:solidFill>
              <a:ln w="25399">
                <a:noFill/>
              </a:ln>
            </c:spPr>
          </c:dPt>
          <c:dLbls>
            <c:dLbl>
              <c:idx val="0"/>
              <c:layout>
                <c:manualLayout>
                  <c:x val="-5.5289019105169875E-2"/>
                  <c:y val="-0.10151925631528097"/>
                </c:manualLayout>
              </c:layout>
              <c:dLblPos val="bestFit"/>
              <c:showLegendKey val="1"/>
              <c:showVal val="1"/>
              <c:showCatName val="1"/>
              <c:showSerName val="1"/>
              <c:showPercent val="1"/>
              <c:showBubbleSize val="1"/>
            </c:dLbl>
            <c:dLbl>
              <c:idx val="1"/>
              <c:layout>
                <c:manualLayout>
                  <c:x val="0.51240399601212649"/>
                  <c:y val="-0.23541975409477844"/>
                </c:manualLayout>
              </c:layout>
              <c:dLblPos val="bestFit"/>
              <c:showLegendKey val="1"/>
              <c:showVal val="1"/>
              <c:showCatName val="1"/>
              <c:showSerName val="1"/>
              <c:showPercent val="1"/>
              <c:showBubbleSize val="1"/>
            </c:dLbl>
            <c:numFmt formatCode="0%" sourceLinked="0"/>
            <c:spPr>
              <a:noFill/>
              <a:ln w="25399">
                <a:noFill/>
              </a:ln>
            </c:spPr>
            <c:txPr>
              <a:bodyPr/>
              <a:lstStyle/>
              <a:p>
                <a:pPr>
                  <a:defRPr sz="800" b="1" i="0" u="none" strike="noStrike" baseline="0">
                    <a:solidFill>
                      <a:srgbClr val="000000"/>
                    </a:solidFill>
                    <a:latin typeface="Calibri"/>
                    <a:ea typeface="Calibri"/>
                    <a:cs typeface="Calibri"/>
                  </a:defRPr>
                </a:pPr>
                <a:endParaRPr lang="en-US"/>
              </a:p>
            </c:txPr>
            <c:showLegendKey val="1"/>
            <c:showVal val="1"/>
            <c:showCatName val="1"/>
            <c:showSerName val="1"/>
            <c:showPercent val="1"/>
            <c:showBubbleSize val="1"/>
            <c:showLeaderLines val="1"/>
          </c:dLbls>
          <c:cat>
            <c:strRef>
              <c:f>Sheet1!$B$1:$C$1</c:f>
              <c:strCache>
                <c:ptCount val="2"/>
                <c:pt idx="0">
                  <c:v>Long term debt</c:v>
                </c:pt>
                <c:pt idx="1">
                  <c:v>Shareholder's Equity</c:v>
                </c:pt>
              </c:strCache>
            </c:strRef>
          </c:cat>
          <c:val>
            <c:numRef>
              <c:f>Sheet1!$B$2:$C$2</c:f>
              <c:numCache>
                <c:formatCode>0%</c:formatCode>
                <c:ptCount val="2"/>
                <c:pt idx="0">
                  <c:v>0.14000000000000001</c:v>
                </c:pt>
                <c:pt idx="1">
                  <c:v>0.86000000000000065</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Lbls>
            <c:numFmt formatCode="0%" sourceLinked="0"/>
            <c:spPr>
              <a:noFill/>
              <a:ln w="25399">
                <a:noFill/>
              </a:ln>
            </c:spPr>
            <c:txPr>
              <a:bodyPr/>
              <a:lstStyle/>
              <a:p>
                <a:pPr>
                  <a:defRPr sz="800" b="1" i="0" u="none" strike="noStrike" baseline="0">
                    <a:solidFill>
                      <a:srgbClr val="000000"/>
                    </a:solidFill>
                    <a:latin typeface="Calibri"/>
                    <a:ea typeface="Calibri"/>
                    <a:cs typeface="Calibri"/>
                  </a:defRPr>
                </a:pPr>
                <a:endParaRPr lang="en-US"/>
              </a:p>
            </c:txPr>
            <c:showLegendKey val="1"/>
            <c:showVal val="1"/>
            <c:showCatName val="1"/>
            <c:showSerName val="1"/>
            <c:showPercent val="1"/>
            <c:showBubbleSize val="1"/>
            <c:showLeaderLines val="1"/>
          </c:dLbls>
          <c:cat>
            <c:strRef>
              <c:f>Sheet1!$B$1:$C$1</c:f>
              <c:strCache>
                <c:ptCount val="2"/>
                <c:pt idx="0">
                  <c:v>Long term debt</c:v>
                </c:pt>
                <c:pt idx="1">
                  <c:v>Shareholder's Equity</c:v>
                </c:pt>
              </c:strCache>
            </c:strRef>
          </c:cat>
          <c:val>
            <c:numRef>
              <c:f>Sheet1!$B$3:$C$3</c:f>
              <c:numCache>
                <c:formatCode>General</c:formatCode>
                <c:ptCount val="2"/>
              </c:numCache>
            </c:numRef>
          </c:val>
        </c:ser>
        <c:dLbls>
          <c:showLegendKey val="1"/>
          <c:showVal val="1"/>
          <c:showCatName val="1"/>
          <c:showSerName val="1"/>
          <c:showPercent val="1"/>
          <c:showBubbleSize val="1"/>
          <c:showLeaderLines val="1"/>
        </c:dLbls>
      </c:pie3DChart>
      <c:spPr>
        <a:noFill/>
        <a:ln w="25399">
          <a:noFill/>
        </a:ln>
      </c:spPr>
    </c:plotArea>
    <c:plotVisOnly val="1"/>
    <c:dispBlanksAs val="zero"/>
    <c:showDLblsOverMax val="1"/>
  </c:chart>
  <c:spPr>
    <a:noFill/>
    <a:ln>
      <a:noFill/>
    </a:ln>
  </c:spPr>
  <c:txPr>
    <a:bodyPr/>
    <a:lstStyle/>
    <a:p>
      <a:pPr>
        <a:defRPr sz="87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roundedCorners val="1"/>
  <c:style val="2"/>
  <c:chart>
    <c:autoTitleDeleted val="1"/>
    <c:plotArea>
      <c:layout>
        <c:manualLayout>
          <c:layoutTarget val="inner"/>
          <c:xMode val="edge"/>
          <c:yMode val="edge"/>
          <c:x val="0.11764705882352949"/>
          <c:y val="0.12228260869565219"/>
          <c:w val="0.8664546899841018"/>
          <c:h val="0.72010869565217495"/>
        </c:manualLayout>
      </c:layout>
      <c:barChart>
        <c:barDir val="col"/>
        <c:grouping val="clustered"/>
        <c:varyColors val="1"/>
        <c:ser>
          <c:idx val="0"/>
          <c:order val="0"/>
          <c:tx>
            <c:strRef>
              <c:f>Sheet1!$A$2</c:f>
              <c:strCache>
                <c:ptCount val="1"/>
              </c:strCache>
            </c:strRef>
          </c:tx>
          <c:spPr>
            <a:solidFill>
              <a:srgbClr val="0066CC"/>
            </a:solidFill>
            <a:ln w="25400">
              <a:noFill/>
            </a:ln>
          </c:spPr>
          <c:invertIfNegative val="1"/>
          <c:dLbls>
            <c:spPr>
              <a:noFill/>
              <a:ln w="25400">
                <a:noFill/>
              </a:ln>
            </c:spPr>
            <c:txPr>
              <a:bodyPr/>
              <a:lstStyle/>
              <a:p>
                <a:pPr>
                  <a:defRPr sz="1525" b="1" i="0" u="none" strike="noStrike" baseline="0">
                    <a:solidFill>
                      <a:srgbClr val="000000"/>
                    </a:solidFill>
                    <a:latin typeface="Calibri"/>
                    <a:ea typeface="Calibri"/>
                    <a:cs typeface="Calibri"/>
                  </a:defRPr>
                </a:pPr>
                <a:endParaRPr lang="en-US"/>
              </a:p>
            </c:txPr>
            <c:showLegendKey val="1"/>
            <c:showVal val="1"/>
            <c:showCatName val="1"/>
            <c:showSerName val="1"/>
            <c:showPercent val="1"/>
            <c:showBubbleSize val="1"/>
            <c:showLeaderLines val="0"/>
          </c:dLbls>
          <c:cat>
            <c:numRef>
              <c:f>Sheet1!$B$1:$D$1</c:f>
              <c:numCache>
                <c:formatCode>General</c:formatCode>
                <c:ptCount val="3"/>
                <c:pt idx="0">
                  <c:v>2008</c:v>
                </c:pt>
                <c:pt idx="1">
                  <c:v>2009</c:v>
                </c:pt>
                <c:pt idx="2">
                  <c:v>2010</c:v>
                </c:pt>
              </c:numCache>
            </c:numRef>
          </c:cat>
          <c:val>
            <c:numRef>
              <c:f>Sheet1!$B$2:$D$2</c:f>
              <c:numCache>
                <c:formatCode>#,##0</c:formatCode>
                <c:ptCount val="3"/>
                <c:pt idx="0">
                  <c:v>14972</c:v>
                </c:pt>
                <c:pt idx="1">
                  <c:v>16571</c:v>
                </c:pt>
                <c:pt idx="2">
                  <c:v>16385</c:v>
                </c:pt>
              </c:numCache>
            </c:numRef>
          </c:val>
          <c:extLst>
            <c:ext xmlns:c14="http://schemas.microsoft.com/office/drawing/2007/8/2/chart" uri="{6F2FDCE9-48DA-4B69-8628-5D25D57E5C99}">
              <c14:invertSolidFillFmt>
                <c14:spPr xmlns:c14="http://schemas.microsoft.com/office/drawing/2007/8/2/chart">
                  <a:solidFill>
                    <a:srgbClr val="FFFFFF"/>
                  </a:solidFill>
                  <a:ln w="25400">
                    <a:noFill/>
                  </a:ln>
                </c14:spPr>
              </c14:invertSolidFillFmt>
            </c:ext>
          </c:extLst>
        </c:ser>
        <c:dLbls>
          <c:showLegendKey val="1"/>
          <c:showVal val="1"/>
          <c:showCatName val="1"/>
          <c:showSerName val="1"/>
          <c:showPercent val="1"/>
          <c:showBubbleSize val="1"/>
        </c:dLbls>
        <c:gapWidth val="150"/>
        <c:axId val="284361472"/>
        <c:axId val="284364160"/>
      </c:barChart>
      <c:catAx>
        <c:axId val="284361472"/>
        <c:scaling>
          <c:orientation val="minMax"/>
        </c:scaling>
        <c:delete val="1"/>
        <c:axPos val="b"/>
        <c:numFmt formatCode="General" sourceLinked="1"/>
        <c:majorTickMark val="cross"/>
        <c:minorTickMark val="cross"/>
        <c:tickLblPos val="nextTo"/>
        <c:crossAx val="284364160"/>
        <c:crosses val="autoZero"/>
        <c:auto val="1"/>
        <c:lblAlgn val="ctr"/>
        <c:lblOffset val="100"/>
        <c:tickLblSkip val="1"/>
        <c:tickMarkSkip val="1"/>
        <c:noMultiLvlLbl val="1"/>
      </c:catAx>
      <c:valAx>
        <c:axId val="284364160"/>
        <c:scaling>
          <c:orientation val="minMax"/>
        </c:scaling>
        <c:delete val="1"/>
        <c:axPos val="l"/>
        <c:title>
          <c:tx>
            <c:rich>
              <a:bodyPr rot="0" vert="horz"/>
              <a:lstStyle/>
              <a:p>
                <a:pPr algn="ctr">
                  <a:defRPr sz="1200" b="1" i="0" u="none" strike="noStrike" baseline="0">
                    <a:solidFill>
                      <a:srgbClr val="000000"/>
                    </a:solidFill>
                    <a:latin typeface="Calibri"/>
                    <a:ea typeface="Calibri"/>
                    <a:cs typeface="Calibri"/>
                  </a:defRPr>
                </a:pPr>
                <a:r>
                  <a:rPr lang="en-US"/>
                  <a:t>$</a:t>
                </a:r>
              </a:p>
            </c:rich>
          </c:tx>
          <c:layout>
            <c:manualLayout>
              <c:xMode val="edge"/>
              <c:yMode val="edge"/>
              <c:x val="0.10810810810810811"/>
              <c:y val="0"/>
            </c:manualLayout>
          </c:layout>
          <c:overlay val="1"/>
          <c:spPr>
            <a:noFill/>
            <a:ln w="25400">
              <a:noFill/>
            </a:ln>
          </c:spPr>
        </c:title>
        <c:numFmt formatCode="#,##0" sourceLinked="1"/>
        <c:majorTickMark val="cross"/>
        <c:minorTickMark val="cross"/>
        <c:tickLblPos val="nextTo"/>
        <c:crossAx val="284361472"/>
        <c:crosses val="autoZero"/>
        <c:crossBetween val="between"/>
      </c:valAx>
      <c:spPr>
        <a:noFill/>
        <a:ln w="25400">
          <a:noFill/>
        </a:ln>
      </c:spPr>
    </c:plotArea>
    <c:plotVisOnly val="1"/>
    <c:dispBlanksAs val="gap"/>
    <c:showDLblsOverMax val="1"/>
  </c:chart>
  <c:spPr>
    <a:noFill/>
    <a:ln>
      <a:noFill/>
    </a:ln>
  </c:spPr>
  <c:txPr>
    <a:bodyPr/>
    <a:lstStyle/>
    <a:p>
      <a:pPr>
        <a:defRPr sz="162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10</Pages>
  <Words>1579</Words>
  <Characters>9006</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dcterms:created xsi:type="dcterms:W3CDTF">2011-12-08T11:27:00Z</dcterms:created>
  <dcterms:modified xsi:type="dcterms:W3CDTF">2017-09-27T07:56:00Z</dcterms:modified>
</cp:coreProperties>
</file>